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F0EBA" w14:textId="6925E969" w:rsidR="00A20C0A" w:rsidRDefault="00A20C0A" w:rsidP="00A20C0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BA51D9">
          <w:rPr>
            <w:b/>
            <w:noProof/>
            <w:sz w:val="24"/>
          </w:rPr>
          <w:t>8</w:t>
        </w:r>
        <w:r>
          <w:rPr>
            <w:b/>
            <w:noProof/>
            <w:sz w:val="24"/>
          </w:rPr>
          <w:t>4</w:t>
        </w:r>
      </w:fldSimple>
      <w:r>
        <w:rPr>
          <w:b/>
          <w:i/>
          <w:noProof/>
          <w:sz w:val="28"/>
        </w:rPr>
        <w:tab/>
      </w:r>
      <w:fldSimple w:instr=" DOCPROPERTY  Tdoc#  \* MERGEFORMAT ">
        <w:r w:rsidRPr="00E13F3D">
          <w:rPr>
            <w:b/>
            <w:i/>
            <w:noProof/>
            <w:sz w:val="28"/>
          </w:rPr>
          <w:t>R4-170</w:t>
        </w:r>
        <w:r>
          <w:rPr>
            <w:b/>
            <w:i/>
            <w:noProof/>
            <w:sz w:val="28"/>
          </w:rPr>
          <w:t>8200</w:t>
        </w:r>
      </w:fldSimple>
    </w:p>
    <w:p w14:paraId="7EC4E50F" w14:textId="77777777" w:rsidR="00A20C0A" w:rsidRDefault="00985744" w:rsidP="00A20C0A">
      <w:pPr>
        <w:pStyle w:val="CRCoverPage"/>
        <w:outlineLvl w:val="0"/>
        <w:rPr>
          <w:b/>
          <w:noProof/>
          <w:sz w:val="24"/>
        </w:rPr>
      </w:pPr>
      <w:fldSimple w:instr=" DOCPROPERTY  Location  \* MERGEFORMAT ">
        <w:r w:rsidR="00A20C0A" w:rsidRPr="00BA51D9">
          <w:rPr>
            <w:b/>
            <w:noProof/>
            <w:sz w:val="24"/>
          </w:rPr>
          <w:t>Berlin</w:t>
        </w:r>
      </w:fldSimple>
      <w:r w:rsidR="00A20C0A">
        <w:rPr>
          <w:b/>
          <w:noProof/>
          <w:sz w:val="24"/>
        </w:rPr>
        <w:t xml:space="preserve">, </w:t>
      </w:r>
      <w:fldSimple w:instr=" DOCPROPERTY  Country  \* MERGEFORMAT ">
        <w:r w:rsidR="00A20C0A" w:rsidRPr="00BA51D9">
          <w:rPr>
            <w:b/>
            <w:noProof/>
            <w:sz w:val="24"/>
          </w:rPr>
          <w:t>Germany</w:t>
        </w:r>
      </w:fldSimple>
      <w:r w:rsidR="00A20C0A">
        <w:rPr>
          <w:b/>
          <w:noProof/>
          <w:sz w:val="24"/>
        </w:rPr>
        <w:t xml:space="preserve">, </w:t>
      </w:r>
      <w:fldSimple w:instr=" DOCPROPERTY  StartDate  \* MERGEFORMAT ">
        <w:r w:rsidR="00A20C0A" w:rsidRPr="00BA51D9">
          <w:rPr>
            <w:b/>
            <w:noProof/>
            <w:sz w:val="24"/>
          </w:rPr>
          <w:t>21st Aug 2017</w:t>
        </w:r>
      </w:fldSimple>
      <w:r w:rsidR="00A20C0A">
        <w:rPr>
          <w:b/>
          <w:noProof/>
          <w:sz w:val="24"/>
        </w:rPr>
        <w:t xml:space="preserve"> - </w:t>
      </w:r>
      <w:fldSimple w:instr=" DOCPROPERTY  EndDate  \* MERGEFORMAT ">
        <w:r w:rsidR="00A20C0A" w:rsidRPr="00BA51D9">
          <w:rPr>
            <w:b/>
            <w:noProof/>
            <w:sz w:val="24"/>
          </w:rPr>
          <w:t>25th Aug 2017</w:t>
        </w:r>
      </w:fldSimple>
    </w:p>
    <w:p w14:paraId="796F77B2" w14:textId="77777777" w:rsidR="00A20C0A" w:rsidRDefault="00A20C0A" w:rsidP="00B81FC7">
      <w:pPr>
        <w:rPr>
          <w:b/>
          <w:lang w:val="en-GB"/>
        </w:rPr>
      </w:pPr>
    </w:p>
    <w:p w14:paraId="6FD9BC02" w14:textId="333AFFAE" w:rsidR="00B81FC7" w:rsidRPr="00235C87" w:rsidRDefault="00B81FC7" w:rsidP="00B81FC7">
      <w:pPr>
        <w:rPr>
          <w:bCs/>
          <w:lang w:val="en-GB"/>
        </w:rPr>
      </w:pPr>
      <w:r w:rsidRPr="00235C87">
        <w:rPr>
          <w:b/>
          <w:lang w:val="en-GB"/>
        </w:rPr>
        <w:t>Source:</w:t>
      </w:r>
      <w:r w:rsidRPr="00235C87">
        <w:rPr>
          <w:b/>
          <w:lang w:val="en-GB"/>
        </w:rPr>
        <w:tab/>
      </w:r>
      <w:r w:rsidR="00CC6B35" w:rsidRPr="00235C87">
        <w:rPr>
          <w:b/>
          <w:lang w:val="en-GB"/>
        </w:rPr>
        <w:tab/>
      </w:r>
      <w:r w:rsidR="0038590F" w:rsidRPr="00235C87">
        <w:rPr>
          <w:lang w:val="en-GB"/>
        </w:rPr>
        <w:t>Rohde &amp; Schwarz</w:t>
      </w:r>
    </w:p>
    <w:p w14:paraId="0F0E92A4" w14:textId="3642A2B0" w:rsidR="00B81FC7" w:rsidRPr="00235C87" w:rsidRDefault="00B81FC7" w:rsidP="008159B1">
      <w:pPr>
        <w:ind w:left="2160" w:hanging="2160"/>
        <w:rPr>
          <w:b/>
          <w:lang w:val="en-GB"/>
        </w:rPr>
      </w:pPr>
      <w:r w:rsidRPr="00235C87">
        <w:rPr>
          <w:b/>
          <w:lang w:val="en-GB"/>
        </w:rPr>
        <w:t>Title:</w:t>
      </w:r>
      <w:r w:rsidRPr="00235C87">
        <w:rPr>
          <w:b/>
          <w:lang w:val="en-GB"/>
        </w:rPr>
        <w:tab/>
      </w:r>
      <w:r w:rsidR="00E351DD">
        <w:rPr>
          <w:lang w:val="en-GB"/>
        </w:rPr>
        <w:t>Black Box vs White Box Testing</w:t>
      </w:r>
      <w:r w:rsidR="00A20C0A">
        <w:rPr>
          <w:lang w:val="en-GB"/>
        </w:rPr>
        <w:t xml:space="preserve"> for NR</w:t>
      </w:r>
    </w:p>
    <w:p w14:paraId="3D1C5600" w14:textId="10F50C9B" w:rsidR="00B81FC7" w:rsidRPr="00235C87" w:rsidRDefault="00B81FC7" w:rsidP="00B81FC7">
      <w:pPr>
        <w:rPr>
          <w:bCs/>
          <w:lang w:val="en-GB" w:eastAsia="ja-JP"/>
        </w:rPr>
      </w:pPr>
      <w:r w:rsidRPr="00235C87">
        <w:rPr>
          <w:b/>
          <w:lang w:val="en-GB"/>
        </w:rPr>
        <w:t>Agenda Item:</w:t>
      </w:r>
      <w:r w:rsidRPr="00235C87">
        <w:rPr>
          <w:lang w:val="en-GB"/>
        </w:rPr>
        <w:tab/>
      </w:r>
      <w:r w:rsidR="00CC6B35" w:rsidRPr="00235C87">
        <w:rPr>
          <w:lang w:val="en-GB"/>
        </w:rPr>
        <w:tab/>
      </w:r>
      <w:r w:rsidR="00A20C0A" w:rsidRPr="00A20C0A">
        <w:rPr>
          <w:lang w:eastAsia="de-DE"/>
        </w:rPr>
        <w:t>9.7.2</w:t>
      </w:r>
    </w:p>
    <w:p w14:paraId="031C0F3A" w14:textId="36F2B02C" w:rsidR="00B81FC7" w:rsidRPr="00235C87" w:rsidRDefault="00B81FC7" w:rsidP="00B81FC7">
      <w:pPr>
        <w:rPr>
          <w:sz w:val="18"/>
          <w:szCs w:val="18"/>
          <w:lang w:val="en-GB"/>
        </w:rPr>
      </w:pPr>
      <w:r w:rsidRPr="00235C87">
        <w:rPr>
          <w:b/>
          <w:lang w:val="en-GB"/>
        </w:rPr>
        <w:t>Document for:</w:t>
      </w:r>
      <w:r w:rsidRPr="00235C87">
        <w:rPr>
          <w:lang w:val="en-GB"/>
        </w:rPr>
        <w:tab/>
      </w:r>
      <w:r w:rsidR="00C92A51">
        <w:rPr>
          <w:lang w:val="en-GB"/>
        </w:rPr>
        <w:t>Discussion</w:t>
      </w:r>
    </w:p>
    <w:p w14:paraId="6680D3A6" w14:textId="77777777" w:rsidR="00B81FC7" w:rsidRPr="00235C87" w:rsidRDefault="00B81FC7" w:rsidP="00B81FC7">
      <w:pPr>
        <w:pStyle w:val="Heading1"/>
        <w:rPr>
          <w:rFonts w:cs="Arial"/>
        </w:rPr>
      </w:pPr>
      <w:r w:rsidRPr="00235C87">
        <w:rPr>
          <w:rFonts w:cs="Arial"/>
        </w:rPr>
        <w:t>Introduction</w:t>
      </w:r>
    </w:p>
    <w:p w14:paraId="1746BA7D" w14:textId="0E996AF6" w:rsidR="007C6CC6" w:rsidRDefault="0009629B" w:rsidP="00BC7654">
      <w:pPr>
        <w:jc w:val="both"/>
        <w:rPr>
          <w:lang w:val="en-GB"/>
        </w:rPr>
      </w:pPr>
      <w:bookmarkStart w:id="0" w:name="OLE_LINK10"/>
      <w:bookmarkStart w:id="1" w:name="OLE_LINK11"/>
      <w:r>
        <w:rPr>
          <w:lang w:val="en-GB"/>
        </w:rPr>
        <w:t>In the NR#2 AH meeting, contributions raised</w:t>
      </w:r>
      <w:r w:rsidR="003C388A">
        <w:rPr>
          <w:lang w:val="en-GB"/>
        </w:rPr>
        <w:t xml:space="preserve"> important</w:t>
      </w:r>
      <w:r>
        <w:rPr>
          <w:lang w:val="en-GB"/>
        </w:rPr>
        <w:t xml:space="preserve"> concerns with NR UE RF testing when the antenna array is not centred at the centre of the quiet zone [1-3]. </w:t>
      </w:r>
      <w:r w:rsidR="003C388A">
        <w:rPr>
          <w:lang w:val="en-GB"/>
        </w:rPr>
        <w:t>The Way Forward [4] summarized the concepts of Black Box vs White Box testing</w:t>
      </w:r>
      <w:r w:rsidR="007628F1">
        <w:rPr>
          <w:lang w:val="en-GB"/>
        </w:rPr>
        <w:t xml:space="preserve"> and highlighted the need to decide on the NR UE RF test approach by RAN4 #84 as it has impact on test system development</w:t>
      </w:r>
      <w:r w:rsidR="007505B5">
        <w:rPr>
          <w:lang w:val="en-GB"/>
        </w:rPr>
        <w:t xml:space="preserve">, test times, </w:t>
      </w:r>
      <w:r w:rsidR="00BC7654">
        <w:rPr>
          <w:lang w:val="en-GB"/>
        </w:rPr>
        <w:t>measurement uncertainty (MU)</w:t>
      </w:r>
      <w:r w:rsidR="007505B5">
        <w:rPr>
          <w:lang w:val="en-GB"/>
        </w:rPr>
        <w:t>, and test tolerances</w:t>
      </w:r>
      <w:r w:rsidR="00BC7654">
        <w:rPr>
          <w:lang w:val="en-GB"/>
        </w:rPr>
        <w:t xml:space="preserve">. </w:t>
      </w:r>
    </w:p>
    <w:p w14:paraId="2F0AF233" w14:textId="5E77E51D" w:rsidR="00BC7654" w:rsidRPr="00235C87" w:rsidRDefault="00BC7654" w:rsidP="00BC7654">
      <w:pPr>
        <w:jc w:val="both"/>
        <w:rPr>
          <w:lang w:val="en-GB"/>
        </w:rPr>
      </w:pPr>
      <w:r>
        <w:rPr>
          <w:lang w:val="en-GB"/>
        </w:rPr>
        <w:t xml:space="preserve">This contributions highlights the differences between the Black Box vs White Box test approaches and some important consequences. </w:t>
      </w:r>
    </w:p>
    <w:p w14:paraId="0F6CFF17" w14:textId="243192F2" w:rsidR="00FC45FA" w:rsidRPr="00235C87" w:rsidRDefault="00DB534F" w:rsidP="00FC45FA">
      <w:pPr>
        <w:pStyle w:val="Heading1"/>
        <w:rPr>
          <w:rFonts w:cs="Arial"/>
        </w:rPr>
      </w:pPr>
      <w:r>
        <w:rPr>
          <w:rFonts w:cs="Arial"/>
        </w:rPr>
        <w:t>DUT Example</w:t>
      </w:r>
    </w:p>
    <w:p w14:paraId="1597D60B" w14:textId="203BB91F" w:rsidR="00DB534F" w:rsidRDefault="00DB534F" w:rsidP="007C6CC6">
      <w:pPr>
        <w:jc w:val="both"/>
        <w:rPr>
          <w:lang w:val="en-GB"/>
        </w:rPr>
      </w:pPr>
      <w:bookmarkStart w:id="2" w:name="OLE_LINK20"/>
      <w:bookmarkEnd w:id="0"/>
      <w:bookmarkEnd w:id="1"/>
      <w:r>
        <w:rPr>
          <w:lang w:val="en-GB"/>
        </w:rPr>
        <w:t xml:space="preserve">For this discussion, a DUT is assumed </w:t>
      </w:r>
      <w:r w:rsidR="001633DC">
        <w:rPr>
          <w:lang w:val="en-GB"/>
        </w:rPr>
        <w:t xml:space="preserve">to have </w:t>
      </w:r>
      <w:r>
        <w:rPr>
          <w:lang w:val="en-GB"/>
        </w:rPr>
        <w:t xml:space="preserve">two different antenna arrays. The </w:t>
      </w:r>
      <w:r w:rsidR="00B07AEF">
        <w:rPr>
          <w:lang w:val="en-GB"/>
        </w:rPr>
        <w:t>antenna architecture</w:t>
      </w:r>
      <w:r>
        <w:rPr>
          <w:lang w:val="en-GB"/>
        </w:rPr>
        <w:t xml:space="preserve"> is schematically shown i</w:t>
      </w:r>
      <w:r w:rsidR="00F8499B">
        <w:rPr>
          <w:lang w:val="en-GB"/>
        </w:rPr>
        <w:t>n Figure 1 with one antenna array on the right hand side of the DUT, A1, and one antenna array on the left-hand side of the DUT, A2.</w:t>
      </w:r>
      <w:r w:rsidR="007C3B8F">
        <w:rPr>
          <w:lang w:val="en-GB"/>
        </w:rPr>
        <w:t xml:space="preserve"> Here, it is assumed that A1 is active for beams steered towards the right hemisphere and that A2 is active for beams steered toward the left hemisphere.</w:t>
      </w:r>
      <w:r w:rsidR="00F8499B">
        <w:rPr>
          <w:lang w:val="en-GB"/>
        </w:rPr>
        <w:t xml:space="preserve"> </w:t>
      </w:r>
    </w:p>
    <w:p w14:paraId="20476338" w14:textId="5D487D16" w:rsidR="00DB534F" w:rsidRDefault="00DB534F" w:rsidP="00F8499B">
      <w:pPr>
        <w:spacing w:after="0" w:line="240" w:lineRule="auto"/>
        <w:jc w:val="center"/>
        <w:rPr>
          <w:lang w:val="en-GB"/>
        </w:rPr>
      </w:pPr>
      <w:r w:rsidRPr="00DB534F">
        <w:rPr>
          <w:noProof/>
          <w:lang w:eastAsia="en-US"/>
        </w:rPr>
        <w:drawing>
          <wp:inline distT="0" distB="0" distL="0" distR="0" wp14:anchorId="1CB86024" wp14:editId="4ECD50F7">
            <wp:extent cx="5029200" cy="2427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9200" cy="2427496"/>
                    </a:xfrm>
                    <a:prstGeom prst="rect">
                      <a:avLst/>
                    </a:prstGeom>
                    <a:noFill/>
                    <a:ln>
                      <a:noFill/>
                    </a:ln>
                  </pic:spPr>
                </pic:pic>
              </a:graphicData>
            </a:graphic>
          </wp:inline>
        </w:drawing>
      </w:r>
    </w:p>
    <w:p w14:paraId="40F3AC0E" w14:textId="4A5C6D1E" w:rsidR="00DB534F" w:rsidRPr="001A08C6" w:rsidRDefault="00F8499B" w:rsidP="00DB534F">
      <w:pPr>
        <w:jc w:val="center"/>
        <w:rPr>
          <w:b/>
          <w:lang w:val="en-GB"/>
        </w:rPr>
      </w:pPr>
      <w:r w:rsidRPr="001A08C6">
        <w:rPr>
          <w:b/>
          <w:lang w:val="en-GB"/>
        </w:rPr>
        <w:t>Figure 1: Example DUT</w:t>
      </w:r>
    </w:p>
    <w:p w14:paraId="5AEDD134" w14:textId="68F2A0C8" w:rsidR="009C33F0" w:rsidRPr="00235C87" w:rsidRDefault="009C33F0" w:rsidP="009C33F0">
      <w:pPr>
        <w:pStyle w:val="Heading1"/>
        <w:rPr>
          <w:rFonts w:cs="Arial"/>
        </w:rPr>
      </w:pPr>
      <w:r>
        <w:rPr>
          <w:rFonts w:cs="Arial"/>
        </w:rPr>
        <w:lastRenderedPageBreak/>
        <w:t>Black Box Approach</w:t>
      </w:r>
    </w:p>
    <w:p w14:paraId="59AC59CF" w14:textId="13F29847" w:rsidR="00CD4B94" w:rsidRDefault="009C33F0" w:rsidP="007C6CC6">
      <w:pPr>
        <w:jc w:val="both"/>
        <w:rPr>
          <w:lang w:val="en-GB"/>
        </w:rPr>
      </w:pPr>
      <w:r>
        <w:rPr>
          <w:lang w:val="en-GB"/>
        </w:rPr>
        <w:t xml:space="preserve">In the black box approach, the DUT is treated as a black box, i.e., the location of the antenna arrays, the number of antenna arrays, and which antenna array is active at any given test point are completely unknown. </w:t>
      </w:r>
      <w:r w:rsidR="00924927">
        <w:rPr>
          <w:lang w:val="en-GB"/>
        </w:rPr>
        <w:t>The positioning of the DUT i</w:t>
      </w:r>
      <w:r w:rsidR="001633DC">
        <w:rPr>
          <w:lang w:val="en-GB"/>
        </w:rPr>
        <w:t>s therefore proposed to follow</w:t>
      </w:r>
      <w:r w:rsidR="00924927">
        <w:rPr>
          <w:lang w:val="en-GB"/>
        </w:rPr>
        <w:t xml:space="preserve"> un</w:t>
      </w:r>
      <w:r w:rsidR="002D453F">
        <w:rPr>
          <w:lang w:val="en-GB"/>
        </w:rPr>
        <w:t xml:space="preserve">iversal positioning guidelines, e.g., the </w:t>
      </w:r>
      <w:r w:rsidR="00B07AEF">
        <w:rPr>
          <w:lang w:val="en-GB"/>
        </w:rPr>
        <w:t xml:space="preserve">geometric </w:t>
      </w:r>
      <w:r w:rsidR="002D453F">
        <w:rPr>
          <w:lang w:val="en-GB"/>
        </w:rPr>
        <w:t>centre of the DUT is centred</w:t>
      </w:r>
      <w:r w:rsidR="00D76E71">
        <w:rPr>
          <w:lang w:val="en-GB"/>
        </w:rPr>
        <w:t xml:space="preserve"> at the centre of the quiet zone/centre of the positioner axes</w:t>
      </w:r>
      <w:r w:rsidR="00443204">
        <w:rPr>
          <w:lang w:val="en-GB"/>
        </w:rPr>
        <w:t xml:space="preserve">. </w:t>
      </w:r>
      <w:r w:rsidR="004E2ACB">
        <w:rPr>
          <w:lang w:val="en-GB"/>
        </w:rPr>
        <w:t xml:space="preserve">A </w:t>
      </w:r>
      <w:r w:rsidR="00B07AEF">
        <w:rPr>
          <w:lang w:val="en-GB"/>
        </w:rPr>
        <w:t xml:space="preserve">suitable </w:t>
      </w:r>
      <w:r w:rsidR="004E2ACB">
        <w:rPr>
          <w:lang w:val="en-GB"/>
        </w:rPr>
        <w:t>test setup based on this black box approach is outlined in Figure 2</w:t>
      </w:r>
      <w:r w:rsidR="001633DC">
        <w:rPr>
          <w:lang w:val="en-GB"/>
        </w:rPr>
        <w:t xml:space="preserve"> for two different test points</w:t>
      </w:r>
      <w:r w:rsidR="004E2ACB">
        <w:rPr>
          <w:lang w:val="en-GB"/>
        </w:rPr>
        <w:t xml:space="preserve">. </w:t>
      </w:r>
    </w:p>
    <w:p w14:paraId="5FC3B879" w14:textId="0D61FB7C" w:rsidR="00DB534F" w:rsidRDefault="00BD3E58" w:rsidP="00BD3E58">
      <w:pPr>
        <w:spacing w:after="0" w:line="240" w:lineRule="auto"/>
        <w:jc w:val="center"/>
        <w:rPr>
          <w:lang w:val="en-GB"/>
        </w:rPr>
      </w:pPr>
      <w:r w:rsidRPr="00BD3E58">
        <w:rPr>
          <w:noProof/>
          <w:lang w:eastAsia="en-US"/>
        </w:rPr>
        <w:drawing>
          <wp:inline distT="0" distB="0" distL="0" distR="0" wp14:anchorId="4D3CEE34" wp14:editId="358B1410">
            <wp:extent cx="2857426" cy="2487168"/>
            <wp:effectExtent l="0" t="0" r="635"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426" cy="2487168"/>
                    </a:xfrm>
                    <a:prstGeom prst="rect">
                      <a:avLst/>
                    </a:prstGeom>
                    <a:noFill/>
                    <a:ln>
                      <a:noFill/>
                    </a:ln>
                  </pic:spPr>
                </pic:pic>
              </a:graphicData>
            </a:graphic>
          </wp:inline>
        </w:drawing>
      </w:r>
      <w:r>
        <w:rPr>
          <w:lang w:val="en-GB"/>
        </w:rPr>
        <w:t xml:space="preserve">      </w:t>
      </w:r>
      <w:r w:rsidRPr="00BD3E58">
        <w:rPr>
          <w:noProof/>
          <w:lang w:eastAsia="en-US"/>
        </w:rPr>
        <w:drawing>
          <wp:inline distT="0" distB="0" distL="0" distR="0" wp14:anchorId="1E2308AD" wp14:editId="1FB1371F">
            <wp:extent cx="2743200" cy="2487076"/>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2487076"/>
                    </a:xfrm>
                    <a:prstGeom prst="rect">
                      <a:avLst/>
                    </a:prstGeom>
                    <a:noFill/>
                    <a:ln>
                      <a:noFill/>
                    </a:ln>
                  </pic:spPr>
                </pic:pic>
              </a:graphicData>
            </a:graphic>
          </wp:inline>
        </w:drawing>
      </w:r>
    </w:p>
    <w:p w14:paraId="17B55FBF" w14:textId="43117D75" w:rsidR="00BD3E58" w:rsidRPr="001A08C6" w:rsidRDefault="00BD3E58" w:rsidP="00BD3E58">
      <w:pPr>
        <w:jc w:val="center"/>
        <w:rPr>
          <w:b/>
          <w:lang w:val="en-GB"/>
        </w:rPr>
      </w:pPr>
      <w:r w:rsidRPr="001A08C6">
        <w:rPr>
          <w:b/>
          <w:lang w:val="en-GB"/>
        </w:rPr>
        <w:t xml:space="preserve">Figure 2: Test Setup for the Black Box approach. For beams steered towards the left hemisphere, antenna array A2 (red) is active and for beams steered towards the right, antenna array A1 (green) is active. </w:t>
      </w:r>
    </w:p>
    <w:p w14:paraId="180477C7" w14:textId="38321600" w:rsidR="001A08C6" w:rsidRDefault="008266CA" w:rsidP="008266CA">
      <w:pPr>
        <w:jc w:val="both"/>
        <w:rPr>
          <w:lang w:val="en-GB"/>
        </w:rPr>
      </w:pPr>
      <w:r>
        <w:rPr>
          <w:lang w:val="en-GB"/>
        </w:rPr>
        <w:t>As this test setup does not require the knowledge of the antenna system, UE vendors and/or chipset vendors are not required to provide a vendor declaration about the antenna architecture</w:t>
      </w:r>
      <w:r w:rsidR="00970641">
        <w:rPr>
          <w:lang w:val="en-GB"/>
        </w:rPr>
        <w:t xml:space="preserve"> which could be considered proprietary information</w:t>
      </w:r>
      <w:r>
        <w:rPr>
          <w:lang w:val="en-GB"/>
        </w:rPr>
        <w:t xml:space="preserve">. This in turn simplifies the test setup during conformance testing as the UE is placed in an unambiguous position during testing. </w:t>
      </w:r>
    </w:p>
    <w:p w14:paraId="1106C760" w14:textId="42AF03BB" w:rsidR="008266CA" w:rsidRDefault="00293F18" w:rsidP="008266CA">
      <w:pPr>
        <w:jc w:val="both"/>
        <w:rPr>
          <w:lang w:val="en-GB"/>
        </w:rPr>
      </w:pPr>
      <w:r>
        <w:rPr>
          <w:lang w:val="en-GB"/>
        </w:rPr>
        <w:t xml:space="preserve">On the other hand, this test setup </w:t>
      </w:r>
      <w:r w:rsidR="00D671EE">
        <w:rPr>
          <w:lang w:val="en-GB"/>
        </w:rPr>
        <w:t xml:space="preserve">yields </w:t>
      </w:r>
      <w:r w:rsidR="001A08C6">
        <w:rPr>
          <w:lang w:val="en-GB"/>
        </w:rPr>
        <w:t>a measurement uncertainty</w:t>
      </w:r>
      <w:r w:rsidR="00D671EE">
        <w:rPr>
          <w:lang w:val="en-GB"/>
        </w:rPr>
        <w:t xml:space="preserve"> related to the offset of the centre of active antenna array from the centre of the quiet zone</w:t>
      </w:r>
      <w:r w:rsidR="001A08C6">
        <w:rPr>
          <w:lang w:val="en-GB"/>
        </w:rPr>
        <w:t>, specifically for TX powers or RX sensitivities that are defined as single-directional requirements (EIRP, EIS) instead of requirements integrated</w:t>
      </w:r>
      <w:r w:rsidR="00F72A7E">
        <w:rPr>
          <w:lang w:val="en-GB"/>
        </w:rPr>
        <w:t>/</w:t>
      </w:r>
      <w:r w:rsidR="001A08C6">
        <w:rPr>
          <w:lang w:val="en-GB"/>
        </w:rPr>
        <w:t>averaged over the whole sphere (TRP, TRS)</w:t>
      </w:r>
      <w:r w:rsidR="00D671EE">
        <w:rPr>
          <w:lang w:val="en-GB"/>
        </w:rPr>
        <w:t xml:space="preserve">. </w:t>
      </w:r>
      <w:r w:rsidR="00D31A2B">
        <w:rPr>
          <w:lang w:val="en-GB"/>
        </w:rPr>
        <w:t>T</w:t>
      </w:r>
      <w:r w:rsidR="00587E96">
        <w:rPr>
          <w:lang w:val="en-GB"/>
        </w:rPr>
        <w:t>he</w:t>
      </w:r>
      <w:r w:rsidR="00A223EA">
        <w:rPr>
          <w:lang w:val="en-GB"/>
        </w:rPr>
        <w:t xml:space="preserve"> system calibration is making sure the free space path loss between the centre of the quiet zone to the antenna, the measurement antenna gain, as well as cables, switches, and amplifiers in the measurement path are accounted for</w:t>
      </w:r>
      <w:r w:rsidR="00D31A2B">
        <w:rPr>
          <w:lang w:val="en-GB"/>
        </w:rPr>
        <w:t xml:space="preserve">. </w:t>
      </w:r>
      <w:r w:rsidR="00A223EA">
        <w:rPr>
          <w:lang w:val="en-GB"/>
        </w:rPr>
        <w:t xml:space="preserve">As shown in Figure 2, when the active antenna array is not placed in the centre of the quiet zone, the </w:t>
      </w:r>
      <w:r w:rsidR="001A08C6">
        <w:rPr>
          <w:lang w:val="en-GB"/>
        </w:rPr>
        <w:t xml:space="preserve">additional </w:t>
      </w:r>
      <w:r w:rsidR="00A223EA">
        <w:rPr>
          <w:lang w:val="en-GB"/>
        </w:rPr>
        <w:t xml:space="preserve">free-space path loss </w:t>
      </w:r>
      <w:r w:rsidR="00A57D0D">
        <w:rPr>
          <w:lang w:val="en-GB"/>
        </w:rPr>
        <w:t>incurred</w:t>
      </w:r>
      <w:r w:rsidR="00A223EA">
        <w:rPr>
          <w:lang w:val="en-GB"/>
        </w:rPr>
        <w:t xml:space="preserve"> between the active antenna array and the measur</w:t>
      </w:r>
      <w:r w:rsidR="009705CD">
        <w:rPr>
          <w:lang w:val="en-GB"/>
        </w:rPr>
        <w:t xml:space="preserve">ement antenna is different from what was calibrated which </w:t>
      </w:r>
      <w:r w:rsidR="007C7160">
        <w:rPr>
          <w:lang w:val="en-GB"/>
        </w:rPr>
        <w:t>will</w:t>
      </w:r>
      <w:r w:rsidR="009705CD">
        <w:rPr>
          <w:lang w:val="en-GB"/>
        </w:rPr>
        <w:t xml:space="preserve"> lead to differences in measured </w:t>
      </w:r>
      <w:r w:rsidR="00D31A2B">
        <w:rPr>
          <w:lang w:val="en-GB"/>
        </w:rPr>
        <w:t>EIRP/EIS</w:t>
      </w:r>
      <w:r w:rsidR="00A57D0D">
        <w:rPr>
          <w:lang w:val="en-GB"/>
        </w:rPr>
        <w:t>. Parameters that do not require calibration such as EVM would not be affected by this additional measurement uncertainty.</w:t>
      </w:r>
    </w:p>
    <w:p w14:paraId="4F2EE3AA" w14:textId="747BB916" w:rsidR="004339E0" w:rsidRDefault="004339E0" w:rsidP="008266CA">
      <w:pPr>
        <w:jc w:val="both"/>
        <w:rPr>
          <w:lang w:val="en-GB"/>
        </w:rPr>
      </w:pPr>
      <w:r>
        <w:rPr>
          <w:lang w:val="en-GB"/>
        </w:rPr>
        <w:t xml:space="preserve">The maximum </w:t>
      </w:r>
      <w:r w:rsidR="009B209B">
        <w:rPr>
          <w:lang w:val="en-GB"/>
        </w:rPr>
        <w:t>p</w:t>
      </w:r>
      <w:r>
        <w:rPr>
          <w:lang w:val="en-GB"/>
        </w:rPr>
        <w:t xml:space="preserve">ath loss </w:t>
      </w:r>
      <w:r w:rsidR="009B209B">
        <w:rPr>
          <w:lang w:val="en-GB"/>
        </w:rPr>
        <w:t>difference of</w:t>
      </w:r>
      <w:r>
        <w:rPr>
          <w:lang w:val="en-GB"/>
        </w:rPr>
        <w:t xml:space="preserve"> the antenna array </w:t>
      </w:r>
      <w:r w:rsidR="009B209B">
        <w:rPr>
          <w:lang w:val="en-GB"/>
        </w:rPr>
        <w:t xml:space="preserve">A1, displaced by </w:t>
      </w:r>
      <w:r w:rsidR="009B209B" w:rsidRPr="009B209B">
        <w:rPr>
          <w:rFonts w:ascii="Symbol" w:hAnsi="Symbol"/>
          <w:lang w:val="en-GB"/>
        </w:rPr>
        <w:t></w:t>
      </w:r>
      <w:r w:rsidR="009B209B" w:rsidRPr="009B209B">
        <w:rPr>
          <w:i/>
          <w:lang w:val="en-GB"/>
        </w:rPr>
        <w:t>d</w:t>
      </w:r>
      <w:r w:rsidR="009B209B">
        <w:rPr>
          <w:lang w:val="en-GB"/>
        </w:rPr>
        <w:t xml:space="preserve"> from the centre of the quiet zone</w:t>
      </w:r>
      <w:r w:rsidR="008428A3">
        <w:rPr>
          <w:lang w:val="en-GB"/>
        </w:rPr>
        <w:t xml:space="preserve">, Figure 3a, compared to the antenna centred at the centre of the quiet zone (reference point for calibration), Figure 3b, can be determined </w:t>
      </w:r>
      <w:r w:rsidR="007A63CD">
        <w:rPr>
          <w:lang w:val="en-GB"/>
        </w:rPr>
        <w:t>with</w:t>
      </w:r>
      <w:r w:rsidR="008428A3">
        <w:rPr>
          <w:lang w:val="en-GB"/>
        </w:rPr>
        <w:t xml:space="preserve"> the range length of the system </w:t>
      </w:r>
      <w:r w:rsidR="008428A3" w:rsidRPr="007A63CD">
        <w:rPr>
          <w:i/>
          <w:lang w:val="en-GB"/>
        </w:rPr>
        <w:lastRenderedPageBreak/>
        <w:t>r</w:t>
      </w:r>
      <w:r w:rsidR="008428A3">
        <w:rPr>
          <w:lang w:val="en-GB"/>
        </w:rPr>
        <w:t xml:space="preserve">, defined as the distance between the centre of the quiet zone and the measurement antenna, and </w:t>
      </w:r>
      <w:r w:rsidR="008428A3" w:rsidRPr="009B209B">
        <w:rPr>
          <w:rFonts w:ascii="Symbol" w:hAnsi="Symbol"/>
          <w:lang w:val="en-GB"/>
        </w:rPr>
        <w:t></w:t>
      </w:r>
      <w:r w:rsidR="008428A3" w:rsidRPr="009B209B">
        <w:rPr>
          <w:i/>
          <w:lang w:val="en-GB"/>
        </w:rPr>
        <w:t>d</w:t>
      </w:r>
      <w:r w:rsidR="008428A3">
        <w:rPr>
          <w:lang w:val="en-GB"/>
        </w:rPr>
        <w:t xml:space="preserve">. </w:t>
      </w:r>
      <w:r w:rsidR="00E37B2F">
        <w:rPr>
          <w:lang w:val="en-GB"/>
        </w:rPr>
        <w:t xml:space="preserve">This path loss </w:t>
      </w:r>
      <w:r w:rsidR="0075784B">
        <w:rPr>
          <w:lang w:val="en-GB"/>
        </w:rPr>
        <w:t>difference</w:t>
      </w:r>
      <w:r w:rsidR="00E37B2F">
        <w:rPr>
          <w:lang w:val="en-GB"/>
        </w:rPr>
        <w:t xml:space="preserve"> is shown in Table 1</w:t>
      </w:r>
    </w:p>
    <w:p w14:paraId="438BC979" w14:textId="4C2B5BE4" w:rsidR="00E37B2F" w:rsidRPr="00E37B2F" w:rsidRDefault="00E37B2F" w:rsidP="008266CA">
      <w:pPr>
        <w:jc w:val="both"/>
        <w:rPr>
          <w:b/>
          <w:lang w:val="en-GB"/>
        </w:rPr>
      </w:pPr>
      <w:r w:rsidRPr="00E37B2F">
        <w:rPr>
          <w:b/>
          <w:lang w:val="en-GB"/>
        </w:rPr>
        <w:t xml:space="preserve">Table 1: Maximum path loss difference between </w:t>
      </w:r>
      <w:r>
        <w:rPr>
          <w:b/>
          <w:lang w:val="en-GB"/>
        </w:rPr>
        <w:t xml:space="preserve">an </w:t>
      </w:r>
      <w:r w:rsidRPr="00E37B2F">
        <w:rPr>
          <w:b/>
          <w:lang w:val="en-GB"/>
        </w:rPr>
        <w:t xml:space="preserve">antenna array displaced by </w:t>
      </w:r>
      <w:r w:rsidRPr="00E37B2F">
        <w:rPr>
          <w:rFonts w:ascii="Symbol" w:hAnsi="Symbol"/>
          <w:b/>
          <w:lang w:val="en-GB"/>
        </w:rPr>
        <w:t></w:t>
      </w:r>
      <w:r w:rsidRPr="00E37B2F">
        <w:rPr>
          <w:b/>
          <w:i/>
          <w:lang w:val="en-GB"/>
        </w:rPr>
        <w:t xml:space="preserve">d </w:t>
      </w:r>
      <w:r w:rsidRPr="00E37B2F">
        <w:rPr>
          <w:b/>
          <w:lang w:val="en-GB"/>
        </w:rPr>
        <w:t>from</w:t>
      </w:r>
      <w:r>
        <w:rPr>
          <w:b/>
          <w:lang w:val="en-GB"/>
        </w:rPr>
        <w:t xml:space="preserve"> the centre of the quiet zone and the antenna array centred at the centre of the quiet zone</w:t>
      </w:r>
      <w:r w:rsidRPr="00E37B2F">
        <w:rPr>
          <w:b/>
          <w:lang w:val="en-GB"/>
        </w:rPr>
        <w:t xml:space="preserve"> </w:t>
      </w:r>
    </w:p>
    <w:tbl>
      <w:tblPr>
        <w:tblW w:w="7240" w:type="dxa"/>
        <w:jc w:val="center"/>
        <w:tblLook w:val="04A0" w:firstRow="1" w:lastRow="0" w:firstColumn="1" w:lastColumn="0" w:noHBand="0" w:noVBand="1"/>
      </w:tblPr>
      <w:tblGrid>
        <w:gridCol w:w="1440"/>
        <w:gridCol w:w="582"/>
        <w:gridCol w:w="582"/>
        <w:gridCol w:w="583"/>
        <w:gridCol w:w="583"/>
        <w:gridCol w:w="583"/>
        <w:gridCol w:w="576"/>
        <w:gridCol w:w="583"/>
        <w:gridCol w:w="576"/>
        <w:gridCol w:w="576"/>
        <w:gridCol w:w="576"/>
      </w:tblGrid>
      <w:tr w:rsidR="00E37B2F" w:rsidRPr="00E37B2F" w14:paraId="7563C1C3" w14:textId="77777777" w:rsidTr="00DC4829">
        <w:trPr>
          <w:trHeight w:val="310"/>
          <w:jc w:val="center"/>
        </w:trPr>
        <w:tc>
          <w:tcPr>
            <w:tcW w:w="1440" w:type="dxa"/>
            <w:tcBorders>
              <w:top w:val="nil"/>
              <w:left w:val="nil"/>
              <w:bottom w:val="nil"/>
              <w:right w:val="nil"/>
            </w:tcBorders>
            <w:shd w:val="clear" w:color="auto" w:fill="auto"/>
            <w:noWrap/>
            <w:vAlign w:val="bottom"/>
            <w:hideMark/>
          </w:tcPr>
          <w:p w14:paraId="3BE11AC9" w14:textId="77777777" w:rsidR="00E37B2F" w:rsidRPr="00E37B2F" w:rsidRDefault="00E37B2F" w:rsidP="00E37B2F">
            <w:pPr>
              <w:spacing w:after="0" w:line="240" w:lineRule="auto"/>
              <w:rPr>
                <w:rFonts w:ascii="Times New Roman" w:eastAsia="Times New Roman" w:hAnsi="Times New Roman" w:cs="Times New Roman"/>
                <w:sz w:val="20"/>
                <w:szCs w:val="20"/>
                <w:lang w:val="en-GB" w:eastAsia="en-US"/>
              </w:rPr>
            </w:pPr>
          </w:p>
        </w:tc>
        <w:tc>
          <w:tcPr>
            <w:tcW w:w="58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5CD708E" w14:textId="2F798360"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Path Loss Difference ≈ 20 log[</w:t>
            </w:r>
            <w:r w:rsidRPr="00E37B2F">
              <w:rPr>
                <w:rFonts w:ascii="Calibri" w:eastAsia="Times New Roman" w:hAnsi="Calibri" w:cs="Calibri"/>
                <w:b/>
                <w:bCs/>
                <w:i/>
                <w:iCs/>
                <w:color w:val="000000"/>
                <w:sz w:val="24"/>
                <w:szCs w:val="24"/>
                <w:lang w:eastAsia="en-US"/>
              </w:rPr>
              <w:t>r</w:t>
            </w:r>
            <w:r w:rsidRPr="00E37B2F">
              <w:rPr>
                <w:rFonts w:ascii="Calibri" w:eastAsia="Times New Roman" w:hAnsi="Calibri" w:cs="Calibri"/>
                <w:b/>
                <w:bCs/>
                <w:color w:val="000000"/>
                <w:sz w:val="24"/>
                <w:szCs w:val="24"/>
                <w:lang w:eastAsia="en-US"/>
              </w:rPr>
              <w:t>/(</w:t>
            </w:r>
            <w:r w:rsidRPr="00E37B2F">
              <w:rPr>
                <w:rFonts w:ascii="Calibri" w:eastAsia="Times New Roman" w:hAnsi="Calibri" w:cs="Calibri"/>
                <w:b/>
                <w:bCs/>
                <w:i/>
                <w:iCs/>
                <w:color w:val="000000"/>
                <w:sz w:val="24"/>
                <w:szCs w:val="24"/>
                <w:lang w:eastAsia="en-US"/>
              </w:rPr>
              <w:t>r</w:t>
            </w:r>
            <w:r w:rsidRPr="00E37B2F">
              <w:rPr>
                <w:rFonts w:ascii="Calibri" w:eastAsia="Times New Roman" w:hAnsi="Calibri" w:cs="Calibri"/>
                <w:b/>
                <w:bCs/>
                <w:color w:val="000000"/>
                <w:sz w:val="24"/>
                <w:szCs w:val="24"/>
                <w:lang w:eastAsia="en-US"/>
              </w:rPr>
              <w:t>-</w:t>
            </w:r>
            <w:r w:rsidRPr="00E37B2F">
              <w:rPr>
                <w:rFonts w:ascii="Symbol" w:eastAsia="Times New Roman" w:hAnsi="Symbol" w:cs="Calibri"/>
                <w:b/>
                <w:bCs/>
                <w:color w:val="000000"/>
                <w:sz w:val="24"/>
                <w:szCs w:val="24"/>
                <w:lang w:eastAsia="en-US"/>
              </w:rPr>
              <w:t></w:t>
            </w:r>
            <w:r w:rsidRPr="00E37B2F">
              <w:rPr>
                <w:rFonts w:ascii="Calibri" w:eastAsia="Times New Roman" w:hAnsi="Calibri" w:cs="Calibri"/>
                <w:b/>
                <w:bCs/>
                <w:i/>
                <w:iCs/>
                <w:color w:val="000000"/>
                <w:sz w:val="24"/>
                <w:szCs w:val="24"/>
                <w:lang w:eastAsia="en-US"/>
              </w:rPr>
              <w:t>d</w:t>
            </w:r>
            <w:r w:rsidRPr="00E37B2F">
              <w:rPr>
                <w:rFonts w:ascii="Calibri" w:eastAsia="Times New Roman" w:hAnsi="Calibri" w:cs="Calibri"/>
                <w:b/>
                <w:bCs/>
                <w:color w:val="000000"/>
                <w:sz w:val="24"/>
                <w:szCs w:val="24"/>
                <w:lang w:eastAsia="en-US"/>
              </w:rPr>
              <w:t>)]</w:t>
            </w:r>
            <w:r w:rsidR="0075784B">
              <w:rPr>
                <w:rFonts w:ascii="Calibri" w:eastAsia="Times New Roman" w:hAnsi="Calibri" w:cs="Calibri"/>
                <w:b/>
                <w:bCs/>
                <w:color w:val="000000"/>
                <w:sz w:val="24"/>
                <w:szCs w:val="24"/>
                <w:lang w:eastAsia="en-US"/>
              </w:rPr>
              <w:t xml:space="preserve"> [dB]</w:t>
            </w:r>
            <w:bookmarkStart w:id="3" w:name="_GoBack"/>
            <w:bookmarkEnd w:id="3"/>
          </w:p>
        </w:tc>
      </w:tr>
      <w:tr w:rsidR="00E37B2F" w:rsidRPr="00E37B2F" w14:paraId="0EAAF699" w14:textId="77777777" w:rsidTr="00DC4829">
        <w:trPr>
          <w:trHeight w:val="1060"/>
          <w:jc w:val="center"/>
        </w:trPr>
        <w:tc>
          <w:tcPr>
            <w:tcW w:w="1440"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0F0D4F4D" w14:textId="77777777" w:rsidR="00E37B2F" w:rsidRPr="00E37B2F" w:rsidRDefault="00E37B2F" w:rsidP="00E37B2F">
            <w:pPr>
              <w:spacing w:after="0" w:line="240" w:lineRule="auto"/>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 xml:space="preserve">            </w:t>
            </w:r>
            <w:r w:rsidRPr="00E37B2F">
              <w:rPr>
                <w:rFonts w:ascii="Calibri" w:eastAsia="Times New Roman" w:hAnsi="Calibri" w:cs="Calibri"/>
                <w:b/>
                <w:bCs/>
                <w:i/>
                <w:iCs/>
                <w:color w:val="000000"/>
                <w:sz w:val="24"/>
                <w:szCs w:val="24"/>
                <w:lang w:eastAsia="en-US"/>
              </w:rPr>
              <w:t>r</w:t>
            </w:r>
            <w:r w:rsidRPr="00E37B2F">
              <w:rPr>
                <w:rFonts w:ascii="Calibri" w:eastAsia="Times New Roman" w:hAnsi="Calibri" w:cs="Calibri"/>
                <w:b/>
                <w:bCs/>
                <w:color w:val="000000"/>
                <w:sz w:val="24"/>
                <w:szCs w:val="24"/>
                <w:lang w:eastAsia="en-US"/>
              </w:rPr>
              <w:t xml:space="preserve"> [m]</w:t>
            </w:r>
            <w:r w:rsidRPr="00E37B2F">
              <w:rPr>
                <w:rFonts w:ascii="Calibri" w:eastAsia="Times New Roman" w:hAnsi="Calibri" w:cs="Calibri"/>
                <w:b/>
                <w:bCs/>
                <w:color w:val="000000"/>
                <w:sz w:val="24"/>
                <w:szCs w:val="24"/>
                <w:lang w:eastAsia="en-US"/>
              </w:rPr>
              <w:br/>
            </w:r>
            <w:r w:rsidRPr="00E37B2F">
              <w:rPr>
                <w:rFonts w:ascii="Calibri" w:eastAsia="Times New Roman" w:hAnsi="Calibri" w:cs="Calibri"/>
                <w:b/>
                <w:bCs/>
                <w:color w:val="000000"/>
                <w:sz w:val="24"/>
                <w:szCs w:val="24"/>
                <w:lang w:eastAsia="en-US"/>
              </w:rPr>
              <w:br/>
            </w:r>
            <w:r w:rsidRPr="00E37B2F">
              <w:rPr>
                <w:rFonts w:ascii="Symbol" w:eastAsia="Times New Roman" w:hAnsi="Symbol" w:cs="Calibri"/>
                <w:b/>
                <w:bCs/>
                <w:color w:val="000000"/>
                <w:sz w:val="24"/>
                <w:szCs w:val="24"/>
                <w:lang w:eastAsia="en-US"/>
              </w:rPr>
              <w:t></w:t>
            </w:r>
            <w:r w:rsidRPr="00E37B2F">
              <w:rPr>
                <w:rFonts w:ascii="Calibri" w:eastAsia="Times New Roman" w:hAnsi="Calibri" w:cs="Calibri"/>
                <w:b/>
                <w:bCs/>
                <w:i/>
                <w:iCs/>
                <w:color w:val="000000"/>
                <w:sz w:val="24"/>
                <w:szCs w:val="24"/>
                <w:lang w:eastAsia="en-US"/>
              </w:rPr>
              <w:t>d</w:t>
            </w:r>
            <w:r w:rsidRPr="00E37B2F">
              <w:rPr>
                <w:rFonts w:ascii="Calibri" w:eastAsia="Times New Roman" w:hAnsi="Calibri" w:cs="Calibri"/>
                <w:b/>
                <w:bCs/>
                <w:color w:val="000000"/>
                <w:sz w:val="24"/>
                <w:szCs w:val="24"/>
                <w:lang w:eastAsia="en-US"/>
              </w:rPr>
              <w:t xml:space="preserve"> [cm]</w:t>
            </w:r>
          </w:p>
        </w:tc>
        <w:tc>
          <w:tcPr>
            <w:tcW w:w="582" w:type="dxa"/>
            <w:tcBorders>
              <w:top w:val="nil"/>
              <w:left w:val="nil"/>
              <w:bottom w:val="single" w:sz="4" w:space="0" w:color="auto"/>
              <w:right w:val="single" w:sz="4" w:space="0" w:color="auto"/>
            </w:tcBorders>
            <w:shd w:val="clear" w:color="auto" w:fill="auto"/>
            <w:noWrap/>
            <w:vAlign w:val="center"/>
            <w:hideMark/>
          </w:tcPr>
          <w:p w14:paraId="0CA80163"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0.5</w:t>
            </w:r>
          </w:p>
        </w:tc>
        <w:tc>
          <w:tcPr>
            <w:tcW w:w="582" w:type="dxa"/>
            <w:tcBorders>
              <w:top w:val="nil"/>
              <w:left w:val="nil"/>
              <w:bottom w:val="single" w:sz="4" w:space="0" w:color="auto"/>
              <w:right w:val="single" w:sz="4" w:space="0" w:color="auto"/>
            </w:tcBorders>
            <w:shd w:val="clear" w:color="auto" w:fill="auto"/>
            <w:noWrap/>
            <w:vAlign w:val="center"/>
            <w:hideMark/>
          </w:tcPr>
          <w:p w14:paraId="2449E039"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0.6</w:t>
            </w:r>
          </w:p>
        </w:tc>
        <w:tc>
          <w:tcPr>
            <w:tcW w:w="583" w:type="dxa"/>
            <w:tcBorders>
              <w:top w:val="nil"/>
              <w:left w:val="nil"/>
              <w:bottom w:val="single" w:sz="4" w:space="0" w:color="auto"/>
              <w:right w:val="single" w:sz="4" w:space="0" w:color="auto"/>
            </w:tcBorders>
            <w:shd w:val="clear" w:color="auto" w:fill="auto"/>
            <w:noWrap/>
            <w:vAlign w:val="center"/>
            <w:hideMark/>
          </w:tcPr>
          <w:p w14:paraId="412BB975"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0.7</w:t>
            </w:r>
          </w:p>
        </w:tc>
        <w:tc>
          <w:tcPr>
            <w:tcW w:w="583" w:type="dxa"/>
            <w:tcBorders>
              <w:top w:val="nil"/>
              <w:left w:val="nil"/>
              <w:bottom w:val="single" w:sz="4" w:space="0" w:color="auto"/>
              <w:right w:val="single" w:sz="4" w:space="0" w:color="auto"/>
            </w:tcBorders>
            <w:shd w:val="clear" w:color="auto" w:fill="auto"/>
            <w:noWrap/>
            <w:vAlign w:val="center"/>
            <w:hideMark/>
          </w:tcPr>
          <w:p w14:paraId="457693AC"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0.8</w:t>
            </w:r>
          </w:p>
        </w:tc>
        <w:tc>
          <w:tcPr>
            <w:tcW w:w="583" w:type="dxa"/>
            <w:tcBorders>
              <w:top w:val="nil"/>
              <w:left w:val="nil"/>
              <w:bottom w:val="single" w:sz="4" w:space="0" w:color="auto"/>
              <w:right w:val="single" w:sz="4" w:space="0" w:color="auto"/>
            </w:tcBorders>
            <w:shd w:val="clear" w:color="auto" w:fill="auto"/>
            <w:noWrap/>
            <w:vAlign w:val="center"/>
            <w:hideMark/>
          </w:tcPr>
          <w:p w14:paraId="710C02FA"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0.9</w:t>
            </w:r>
          </w:p>
        </w:tc>
        <w:tc>
          <w:tcPr>
            <w:tcW w:w="576" w:type="dxa"/>
            <w:tcBorders>
              <w:top w:val="nil"/>
              <w:left w:val="nil"/>
              <w:bottom w:val="single" w:sz="4" w:space="0" w:color="auto"/>
              <w:right w:val="single" w:sz="4" w:space="0" w:color="auto"/>
            </w:tcBorders>
            <w:shd w:val="clear" w:color="auto" w:fill="auto"/>
            <w:noWrap/>
            <w:vAlign w:val="center"/>
            <w:hideMark/>
          </w:tcPr>
          <w:p w14:paraId="74DB1452"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1</w:t>
            </w:r>
          </w:p>
        </w:tc>
        <w:tc>
          <w:tcPr>
            <w:tcW w:w="583" w:type="dxa"/>
            <w:tcBorders>
              <w:top w:val="nil"/>
              <w:left w:val="nil"/>
              <w:bottom w:val="single" w:sz="4" w:space="0" w:color="auto"/>
              <w:right w:val="single" w:sz="4" w:space="0" w:color="auto"/>
            </w:tcBorders>
            <w:shd w:val="clear" w:color="auto" w:fill="auto"/>
            <w:noWrap/>
            <w:vAlign w:val="center"/>
            <w:hideMark/>
          </w:tcPr>
          <w:p w14:paraId="13A79663"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1.5</w:t>
            </w:r>
          </w:p>
        </w:tc>
        <w:tc>
          <w:tcPr>
            <w:tcW w:w="576" w:type="dxa"/>
            <w:tcBorders>
              <w:top w:val="nil"/>
              <w:left w:val="nil"/>
              <w:bottom w:val="single" w:sz="4" w:space="0" w:color="auto"/>
              <w:right w:val="single" w:sz="4" w:space="0" w:color="auto"/>
            </w:tcBorders>
            <w:shd w:val="clear" w:color="auto" w:fill="auto"/>
            <w:noWrap/>
            <w:vAlign w:val="center"/>
            <w:hideMark/>
          </w:tcPr>
          <w:p w14:paraId="1F410C8A"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2</w:t>
            </w:r>
          </w:p>
        </w:tc>
        <w:tc>
          <w:tcPr>
            <w:tcW w:w="576" w:type="dxa"/>
            <w:tcBorders>
              <w:top w:val="nil"/>
              <w:left w:val="nil"/>
              <w:bottom w:val="single" w:sz="4" w:space="0" w:color="auto"/>
              <w:right w:val="single" w:sz="4" w:space="0" w:color="auto"/>
            </w:tcBorders>
            <w:shd w:val="clear" w:color="auto" w:fill="auto"/>
            <w:noWrap/>
            <w:vAlign w:val="center"/>
            <w:hideMark/>
          </w:tcPr>
          <w:p w14:paraId="1D8AC2EE"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3</w:t>
            </w:r>
          </w:p>
        </w:tc>
        <w:tc>
          <w:tcPr>
            <w:tcW w:w="576" w:type="dxa"/>
            <w:tcBorders>
              <w:top w:val="nil"/>
              <w:left w:val="nil"/>
              <w:bottom w:val="single" w:sz="4" w:space="0" w:color="auto"/>
              <w:right w:val="single" w:sz="4" w:space="0" w:color="auto"/>
            </w:tcBorders>
            <w:shd w:val="clear" w:color="auto" w:fill="auto"/>
            <w:noWrap/>
            <w:vAlign w:val="center"/>
            <w:hideMark/>
          </w:tcPr>
          <w:p w14:paraId="6F64F229"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4</w:t>
            </w:r>
          </w:p>
        </w:tc>
      </w:tr>
      <w:tr w:rsidR="00E37B2F" w:rsidRPr="00E37B2F" w14:paraId="2F2E64F9" w14:textId="77777777" w:rsidTr="00DC4829">
        <w:trPr>
          <w:trHeight w:val="58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4FC30E0B"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0</w:t>
            </w:r>
          </w:p>
        </w:tc>
        <w:tc>
          <w:tcPr>
            <w:tcW w:w="582" w:type="dxa"/>
            <w:tcBorders>
              <w:top w:val="nil"/>
              <w:left w:val="nil"/>
              <w:bottom w:val="single" w:sz="4" w:space="0" w:color="auto"/>
              <w:right w:val="single" w:sz="4" w:space="0" w:color="auto"/>
            </w:tcBorders>
            <w:shd w:val="clear" w:color="auto" w:fill="auto"/>
            <w:noWrap/>
            <w:vAlign w:val="center"/>
            <w:hideMark/>
          </w:tcPr>
          <w:p w14:paraId="08FE9A42"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0.0</w:t>
            </w:r>
          </w:p>
        </w:tc>
        <w:tc>
          <w:tcPr>
            <w:tcW w:w="582" w:type="dxa"/>
            <w:tcBorders>
              <w:top w:val="nil"/>
              <w:left w:val="nil"/>
              <w:bottom w:val="single" w:sz="4" w:space="0" w:color="auto"/>
              <w:right w:val="single" w:sz="4" w:space="0" w:color="auto"/>
            </w:tcBorders>
            <w:shd w:val="clear" w:color="auto" w:fill="auto"/>
            <w:noWrap/>
            <w:vAlign w:val="center"/>
            <w:hideMark/>
          </w:tcPr>
          <w:p w14:paraId="2A709CC9"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0.0</w:t>
            </w:r>
          </w:p>
        </w:tc>
        <w:tc>
          <w:tcPr>
            <w:tcW w:w="583" w:type="dxa"/>
            <w:tcBorders>
              <w:top w:val="nil"/>
              <w:left w:val="nil"/>
              <w:bottom w:val="single" w:sz="4" w:space="0" w:color="auto"/>
              <w:right w:val="single" w:sz="4" w:space="0" w:color="auto"/>
            </w:tcBorders>
            <w:shd w:val="clear" w:color="auto" w:fill="auto"/>
            <w:noWrap/>
            <w:vAlign w:val="center"/>
            <w:hideMark/>
          </w:tcPr>
          <w:p w14:paraId="3D3B9772"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0.0</w:t>
            </w:r>
          </w:p>
        </w:tc>
        <w:tc>
          <w:tcPr>
            <w:tcW w:w="583" w:type="dxa"/>
            <w:tcBorders>
              <w:top w:val="nil"/>
              <w:left w:val="nil"/>
              <w:bottom w:val="single" w:sz="4" w:space="0" w:color="auto"/>
              <w:right w:val="single" w:sz="4" w:space="0" w:color="auto"/>
            </w:tcBorders>
            <w:shd w:val="clear" w:color="auto" w:fill="auto"/>
            <w:noWrap/>
            <w:vAlign w:val="center"/>
            <w:hideMark/>
          </w:tcPr>
          <w:p w14:paraId="322DD4BF"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0.0</w:t>
            </w:r>
          </w:p>
        </w:tc>
        <w:tc>
          <w:tcPr>
            <w:tcW w:w="583" w:type="dxa"/>
            <w:tcBorders>
              <w:top w:val="nil"/>
              <w:left w:val="nil"/>
              <w:bottom w:val="single" w:sz="4" w:space="0" w:color="auto"/>
              <w:right w:val="single" w:sz="4" w:space="0" w:color="auto"/>
            </w:tcBorders>
            <w:shd w:val="clear" w:color="auto" w:fill="auto"/>
            <w:noWrap/>
            <w:vAlign w:val="center"/>
            <w:hideMark/>
          </w:tcPr>
          <w:p w14:paraId="23475F2E"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0.0</w:t>
            </w:r>
          </w:p>
        </w:tc>
        <w:tc>
          <w:tcPr>
            <w:tcW w:w="576" w:type="dxa"/>
            <w:tcBorders>
              <w:top w:val="nil"/>
              <w:left w:val="nil"/>
              <w:bottom w:val="single" w:sz="4" w:space="0" w:color="auto"/>
              <w:right w:val="single" w:sz="4" w:space="0" w:color="auto"/>
            </w:tcBorders>
            <w:shd w:val="clear" w:color="auto" w:fill="auto"/>
            <w:noWrap/>
            <w:vAlign w:val="center"/>
            <w:hideMark/>
          </w:tcPr>
          <w:p w14:paraId="041B3F9B"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0.0</w:t>
            </w:r>
          </w:p>
        </w:tc>
        <w:tc>
          <w:tcPr>
            <w:tcW w:w="583" w:type="dxa"/>
            <w:tcBorders>
              <w:top w:val="nil"/>
              <w:left w:val="nil"/>
              <w:bottom w:val="single" w:sz="4" w:space="0" w:color="auto"/>
              <w:right w:val="single" w:sz="4" w:space="0" w:color="auto"/>
            </w:tcBorders>
            <w:shd w:val="clear" w:color="auto" w:fill="auto"/>
            <w:noWrap/>
            <w:vAlign w:val="center"/>
            <w:hideMark/>
          </w:tcPr>
          <w:p w14:paraId="2463D342"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0.0</w:t>
            </w:r>
          </w:p>
        </w:tc>
        <w:tc>
          <w:tcPr>
            <w:tcW w:w="576" w:type="dxa"/>
            <w:tcBorders>
              <w:top w:val="nil"/>
              <w:left w:val="nil"/>
              <w:bottom w:val="single" w:sz="4" w:space="0" w:color="auto"/>
              <w:right w:val="single" w:sz="4" w:space="0" w:color="auto"/>
            </w:tcBorders>
            <w:shd w:val="clear" w:color="auto" w:fill="auto"/>
            <w:noWrap/>
            <w:vAlign w:val="center"/>
            <w:hideMark/>
          </w:tcPr>
          <w:p w14:paraId="24AC5C6D"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0.0</w:t>
            </w:r>
          </w:p>
        </w:tc>
        <w:tc>
          <w:tcPr>
            <w:tcW w:w="576" w:type="dxa"/>
            <w:tcBorders>
              <w:top w:val="nil"/>
              <w:left w:val="nil"/>
              <w:bottom w:val="single" w:sz="4" w:space="0" w:color="auto"/>
              <w:right w:val="single" w:sz="4" w:space="0" w:color="auto"/>
            </w:tcBorders>
            <w:shd w:val="clear" w:color="auto" w:fill="auto"/>
            <w:noWrap/>
            <w:vAlign w:val="center"/>
            <w:hideMark/>
          </w:tcPr>
          <w:p w14:paraId="03628616"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0.0</w:t>
            </w:r>
          </w:p>
        </w:tc>
        <w:tc>
          <w:tcPr>
            <w:tcW w:w="576" w:type="dxa"/>
            <w:tcBorders>
              <w:top w:val="nil"/>
              <w:left w:val="nil"/>
              <w:bottom w:val="single" w:sz="4" w:space="0" w:color="auto"/>
              <w:right w:val="single" w:sz="4" w:space="0" w:color="auto"/>
            </w:tcBorders>
            <w:shd w:val="clear" w:color="auto" w:fill="auto"/>
            <w:noWrap/>
            <w:vAlign w:val="center"/>
            <w:hideMark/>
          </w:tcPr>
          <w:p w14:paraId="75BEAE37"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0.0</w:t>
            </w:r>
          </w:p>
        </w:tc>
      </w:tr>
      <w:tr w:rsidR="00E37B2F" w:rsidRPr="00E37B2F" w14:paraId="35C4BE1E" w14:textId="77777777" w:rsidTr="00DC4829">
        <w:trPr>
          <w:trHeight w:val="58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21E47B00"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5</w:t>
            </w:r>
          </w:p>
        </w:tc>
        <w:tc>
          <w:tcPr>
            <w:tcW w:w="582" w:type="dxa"/>
            <w:tcBorders>
              <w:top w:val="nil"/>
              <w:left w:val="nil"/>
              <w:bottom w:val="single" w:sz="4" w:space="0" w:color="auto"/>
              <w:right w:val="single" w:sz="4" w:space="0" w:color="auto"/>
            </w:tcBorders>
            <w:shd w:val="clear" w:color="auto" w:fill="auto"/>
            <w:noWrap/>
            <w:vAlign w:val="center"/>
            <w:hideMark/>
          </w:tcPr>
          <w:p w14:paraId="554F80F8"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0.9</w:t>
            </w:r>
          </w:p>
        </w:tc>
        <w:tc>
          <w:tcPr>
            <w:tcW w:w="582" w:type="dxa"/>
            <w:tcBorders>
              <w:top w:val="nil"/>
              <w:left w:val="nil"/>
              <w:bottom w:val="single" w:sz="4" w:space="0" w:color="auto"/>
              <w:right w:val="single" w:sz="4" w:space="0" w:color="auto"/>
            </w:tcBorders>
            <w:shd w:val="clear" w:color="auto" w:fill="auto"/>
            <w:noWrap/>
            <w:vAlign w:val="center"/>
            <w:hideMark/>
          </w:tcPr>
          <w:p w14:paraId="66139F5B"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0.8</w:t>
            </w:r>
          </w:p>
        </w:tc>
        <w:tc>
          <w:tcPr>
            <w:tcW w:w="583" w:type="dxa"/>
            <w:tcBorders>
              <w:top w:val="nil"/>
              <w:left w:val="nil"/>
              <w:bottom w:val="single" w:sz="4" w:space="0" w:color="auto"/>
              <w:right w:val="single" w:sz="4" w:space="0" w:color="auto"/>
            </w:tcBorders>
            <w:shd w:val="clear" w:color="auto" w:fill="auto"/>
            <w:noWrap/>
            <w:vAlign w:val="center"/>
            <w:hideMark/>
          </w:tcPr>
          <w:p w14:paraId="19D54A2A"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0.6</w:t>
            </w:r>
          </w:p>
        </w:tc>
        <w:tc>
          <w:tcPr>
            <w:tcW w:w="583" w:type="dxa"/>
            <w:tcBorders>
              <w:top w:val="nil"/>
              <w:left w:val="nil"/>
              <w:bottom w:val="single" w:sz="4" w:space="0" w:color="auto"/>
              <w:right w:val="single" w:sz="4" w:space="0" w:color="auto"/>
            </w:tcBorders>
            <w:shd w:val="clear" w:color="auto" w:fill="auto"/>
            <w:noWrap/>
            <w:vAlign w:val="center"/>
            <w:hideMark/>
          </w:tcPr>
          <w:p w14:paraId="268AFA83"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0.6</w:t>
            </w:r>
          </w:p>
        </w:tc>
        <w:tc>
          <w:tcPr>
            <w:tcW w:w="583" w:type="dxa"/>
            <w:tcBorders>
              <w:top w:val="nil"/>
              <w:left w:val="nil"/>
              <w:bottom w:val="single" w:sz="4" w:space="0" w:color="auto"/>
              <w:right w:val="single" w:sz="4" w:space="0" w:color="auto"/>
            </w:tcBorders>
            <w:shd w:val="clear" w:color="auto" w:fill="auto"/>
            <w:noWrap/>
            <w:vAlign w:val="center"/>
            <w:hideMark/>
          </w:tcPr>
          <w:p w14:paraId="3CB9317B"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0.5</w:t>
            </w:r>
          </w:p>
        </w:tc>
        <w:tc>
          <w:tcPr>
            <w:tcW w:w="576" w:type="dxa"/>
            <w:tcBorders>
              <w:top w:val="nil"/>
              <w:left w:val="nil"/>
              <w:bottom w:val="single" w:sz="4" w:space="0" w:color="auto"/>
              <w:right w:val="single" w:sz="4" w:space="0" w:color="auto"/>
            </w:tcBorders>
            <w:shd w:val="clear" w:color="auto" w:fill="auto"/>
            <w:noWrap/>
            <w:vAlign w:val="center"/>
            <w:hideMark/>
          </w:tcPr>
          <w:p w14:paraId="27AC16E0"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0.4</w:t>
            </w:r>
          </w:p>
        </w:tc>
        <w:tc>
          <w:tcPr>
            <w:tcW w:w="583" w:type="dxa"/>
            <w:tcBorders>
              <w:top w:val="nil"/>
              <w:left w:val="nil"/>
              <w:bottom w:val="single" w:sz="4" w:space="0" w:color="auto"/>
              <w:right w:val="single" w:sz="4" w:space="0" w:color="auto"/>
            </w:tcBorders>
            <w:shd w:val="clear" w:color="auto" w:fill="auto"/>
            <w:noWrap/>
            <w:vAlign w:val="center"/>
            <w:hideMark/>
          </w:tcPr>
          <w:p w14:paraId="0FF64507"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0.3</w:t>
            </w:r>
          </w:p>
        </w:tc>
        <w:tc>
          <w:tcPr>
            <w:tcW w:w="576" w:type="dxa"/>
            <w:tcBorders>
              <w:top w:val="nil"/>
              <w:left w:val="nil"/>
              <w:bottom w:val="single" w:sz="4" w:space="0" w:color="auto"/>
              <w:right w:val="single" w:sz="4" w:space="0" w:color="auto"/>
            </w:tcBorders>
            <w:shd w:val="clear" w:color="auto" w:fill="auto"/>
            <w:noWrap/>
            <w:vAlign w:val="center"/>
            <w:hideMark/>
          </w:tcPr>
          <w:p w14:paraId="75C2D31D"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0.2</w:t>
            </w:r>
          </w:p>
        </w:tc>
        <w:tc>
          <w:tcPr>
            <w:tcW w:w="576" w:type="dxa"/>
            <w:tcBorders>
              <w:top w:val="nil"/>
              <w:left w:val="nil"/>
              <w:bottom w:val="single" w:sz="4" w:space="0" w:color="auto"/>
              <w:right w:val="single" w:sz="4" w:space="0" w:color="auto"/>
            </w:tcBorders>
            <w:shd w:val="clear" w:color="auto" w:fill="auto"/>
            <w:noWrap/>
            <w:vAlign w:val="center"/>
            <w:hideMark/>
          </w:tcPr>
          <w:p w14:paraId="4E29FADE"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0.1</w:t>
            </w:r>
          </w:p>
        </w:tc>
        <w:tc>
          <w:tcPr>
            <w:tcW w:w="576" w:type="dxa"/>
            <w:tcBorders>
              <w:top w:val="nil"/>
              <w:left w:val="nil"/>
              <w:bottom w:val="single" w:sz="4" w:space="0" w:color="auto"/>
              <w:right w:val="single" w:sz="4" w:space="0" w:color="auto"/>
            </w:tcBorders>
            <w:shd w:val="clear" w:color="auto" w:fill="auto"/>
            <w:noWrap/>
            <w:vAlign w:val="center"/>
            <w:hideMark/>
          </w:tcPr>
          <w:p w14:paraId="3B89EFE3"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0.1</w:t>
            </w:r>
          </w:p>
        </w:tc>
      </w:tr>
      <w:tr w:rsidR="00E37B2F" w:rsidRPr="00E37B2F" w14:paraId="4B0274EB" w14:textId="77777777" w:rsidTr="00DC4829">
        <w:trPr>
          <w:trHeight w:val="58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57BE58E4"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7.5</w:t>
            </w:r>
          </w:p>
        </w:tc>
        <w:tc>
          <w:tcPr>
            <w:tcW w:w="582" w:type="dxa"/>
            <w:tcBorders>
              <w:top w:val="nil"/>
              <w:left w:val="nil"/>
              <w:bottom w:val="single" w:sz="4" w:space="0" w:color="auto"/>
              <w:right w:val="single" w:sz="4" w:space="0" w:color="auto"/>
            </w:tcBorders>
            <w:shd w:val="clear" w:color="auto" w:fill="auto"/>
            <w:noWrap/>
            <w:vAlign w:val="center"/>
            <w:hideMark/>
          </w:tcPr>
          <w:p w14:paraId="3C65146C"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1.4</w:t>
            </w:r>
          </w:p>
        </w:tc>
        <w:tc>
          <w:tcPr>
            <w:tcW w:w="582" w:type="dxa"/>
            <w:tcBorders>
              <w:top w:val="nil"/>
              <w:left w:val="nil"/>
              <w:bottom w:val="single" w:sz="4" w:space="0" w:color="auto"/>
              <w:right w:val="single" w:sz="4" w:space="0" w:color="auto"/>
            </w:tcBorders>
            <w:shd w:val="clear" w:color="auto" w:fill="auto"/>
            <w:noWrap/>
            <w:vAlign w:val="center"/>
            <w:hideMark/>
          </w:tcPr>
          <w:p w14:paraId="0CCD34CD"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1.2</w:t>
            </w:r>
          </w:p>
        </w:tc>
        <w:tc>
          <w:tcPr>
            <w:tcW w:w="583" w:type="dxa"/>
            <w:tcBorders>
              <w:top w:val="nil"/>
              <w:left w:val="nil"/>
              <w:bottom w:val="single" w:sz="4" w:space="0" w:color="auto"/>
              <w:right w:val="single" w:sz="4" w:space="0" w:color="auto"/>
            </w:tcBorders>
            <w:shd w:val="clear" w:color="auto" w:fill="auto"/>
            <w:noWrap/>
            <w:vAlign w:val="center"/>
            <w:hideMark/>
          </w:tcPr>
          <w:p w14:paraId="376F4D7A"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1.0</w:t>
            </w:r>
          </w:p>
        </w:tc>
        <w:tc>
          <w:tcPr>
            <w:tcW w:w="583" w:type="dxa"/>
            <w:tcBorders>
              <w:top w:val="nil"/>
              <w:left w:val="nil"/>
              <w:bottom w:val="single" w:sz="4" w:space="0" w:color="auto"/>
              <w:right w:val="single" w:sz="4" w:space="0" w:color="auto"/>
            </w:tcBorders>
            <w:shd w:val="clear" w:color="auto" w:fill="auto"/>
            <w:noWrap/>
            <w:vAlign w:val="center"/>
            <w:hideMark/>
          </w:tcPr>
          <w:p w14:paraId="43FC1338"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0.9</w:t>
            </w:r>
          </w:p>
        </w:tc>
        <w:tc>
          <w:tcPr>
            <w:tcW w:w="583" w:type="dxa"/>
            <w:tcBorders>
              <w:top w:val="nil"/>
              <w:left w:val="nil"/>
              <w:bottom w:val="single" w:sz="4" w:space="0" w:color="auto"/>
              <w:right w:val="single" w:sz="4" w:space="0" w:color="auto"/>
            </w:tcBorders>
            <w:shd w:val="clear" w:color="auto" w:fill="auto"/>
            <w:noWrap/>
            <w:vAlign w:val="center"/>
            <w:hideMark/>
          </w:tcPr>
          <w:p w14:paraId="387A1347"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0.8</w:t>
            </w:r>
          </w:p>
        </w:tc>
        <w:tc>
          <w:tcPr>
            <w:tcW w:w="576" w:type="dxa"/>
            <w:tcBorders>
              <w:top w:val="nil"/>
              <w:left w:val="nil"/>
              <w:bottom w:val="single" w:sz="4" w:space="0" w:color="auto"/>
              <w:right w:val="single" w:sz="4" w:space="0" w:color="auto"/>
            </w:tcBorders>
            <w:shd w:val="clear" w:color="auto" w:fill="auto"/>
            <w:noWrap/>
            <w:vAlign w:val="center"/>
            <w:hideMark/>
          </w:tcPr>
          <w:p w14:paraId="3E424CA8"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0.7</w:t>
            </w:r>
          </w:p>
        </w:tc>
        <w:tc>
          <w:tcPr>
            <w:tcW w:w="583" w:type="dxa"/>
            <w:tcBorders>
              <w:top w:val="nil"/>
              <w:left w:val="nil"/>
              <w:bottom w:val="single" w:sz="4" w:space="0" w:color="auto"/>
              <w:right w:val="single" w:sz="4" w:space="0" w:color="auto"/>
            </w:tcBorders>
            <w:shd w:val="clear" w:color="auto" w:fill="auto"/>
            <w:noWrap/>
            <w:vAlign w:val="center"/>
            <w:hideMark/>
          </w:tcPr>
          <w:p w14:paraId="108395E9"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0.4</w:t>
            </w:r>
          </w:p>
        </w:tc>
        <w:tc>
          <w:tcPr>
            <w:tcW w:w="576" w:type="dxa"/>
            <w:tcBorders>
              <w:top w:val="nil"/>
              <w:left w:val="nil"/>
              <w:bottom w:val="single" w:sz="4" w:space="0" w:color="auto"/>
              <w:right w:val="single" w:sz="4" w:space="0" w:color="auto"/>
            </w:tcBorders>
            <w:shd w:val="clear" w:color="auto" w:fill="auto"/>
            <w:noWrap/>
            <w:vAlign w:val="center"/>
            <w:hideMark/>
          </w:tcPr>
          <w:p w14:paraId="231ACD0F"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0.3</w:t>
            </w:r>
          </w:p>
        </w:tc>
        <w:tc>
          <w:tcPr>
            <w:tcW w:w="576" w:type="dxa"/>
            <w:tcBorders>
              <w:top w:val="nil"/>
              <w:left w:val="nil"/>
              <w:bottom w:val="single" w:sz="4" w:space="0" w:color="auto"/>
              <w:right w:val="single" w:sz="4" w:space="0" w:color="auto"/>
            </w:tcBorders>
            <w:shd w:val="clear" w:color="auto" w:fill="auto"/>
            <w:noWrap/>
            <w:vAlign w:val="center"/>
            <w:hideMark/>
          </w:tcPr>
          <w:p w14:paraId="563981E1"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0.2</w:t>
            </w:r>
          </w:p>
        </w:tc>
        <w:tc>
          <w:tcPr>
            <w:tcW w:w="576" w:type="dxa"/>
            <w:tcBorders>
              <w:top w:val="nil"/>
              <w:left w:val="nil"/>
              <w:bottom w:val="single" w:sz="4" w:space="0" w:color="auto"/>
              <w:right w:val="single" w:sz="4" w:space="0" w:color="auto"/>
            </w:tcBorders>
            <w:shd w:val="clear" w:color="auto" w:fill="auto"/>
            <w:noWrap/>
            <w:vAlign w:val="center"/>
            <w:hideMark/>
          </w:tcPr>
          <w:p w14:paraId="77386EE0"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0.2</w:t>
            </w:r>
          </w:p>
        </w:tc>
      </w:tr>
      <w:tr w:rsidR="00E37B2F" w:rsidRPr="00E37B2F" w14:paraId="03EDA19C" w14:textId="77777777" w:rsidTr="00DC4829">
        <w:trPr>
          <w:trHeight w:val="58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384C4ACA"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10</w:t>
            </w:r>
          </w:p>
        </w:tc>
        <w:tc>
          <w:tcPr>
            <w:tcW w:w="582" w:type="dxa"/>
            <w:tcBorders>
              <w:top w:val="nil"/>
              <w:left w:val="nil"/>
              <w:bottom w:val="single" w:sz="4" w:space="0" w:color="auto"/>
              <w:right w:val="single" w:sz="4" w:space="0" w:color="auto"/>
            </w:tcBorders>
            <w:shd w:val="clear" w:color="auto" w:fill="auto"/>
            <w:noWrap/>
            <w:vAlign w:val="center"/>
            <w:hideMark/>
          </w:tcPr>
          <w:p w14:paraId="61DE050B"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1.9</w:t>
            </w:r>
          </w:p>
        </w:tc>
        <w:tc>
          <w:tcPr>
            <w:tcW w:w="582" w:type="dxa"/>
            <w:tcBorders>
              <w:top w:val="nil"/>
              <w:left w:val="nil"/>
              <w:bottom w:val="single" w:sz="4" w:space="0" w:color="auto"/>
              <w:right w:val="single" w:sz="4" w:space="0" w:color="auto"/>
            </w:tcBorders>
            <w:shd w:val="clear" w:color="auto" w:fill="auto"/>
            <w:noWrap/>
            <w:vAlign w:val="center"/>
            <w:hideMark/>
          </w:tcPr>
          <w:p w14:paraId="1D7452C9"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1.6</w:t>
            </w:r>
          </w:p>
        </w:tc>
        <w:tc>
          <w:tcPr>
            <w:tcW w:w="583" w:type="dxa"/>
            <w:tcBorders>
              <w:top w:val="nil"/>
              <w:left w:val="nil"/>
              <w:bottom w:val="single" w:sz="4" w:space="0" w:color="auto"/>
              <w:right w:val="single" w:sz="4" w:space="0" w:color="auto"/>
            </w:tcBorders>
            <w:shd w:val="clear" w:color="auto" w:fill="auto"/>
            <w:noWrap/>
            <w:vAlign w:val="center"/>
            <w:hideMark/>
          </w:tcPr>
          <w:p w14:paraId="1298B00E"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1.3</w:t>
            </w:r>
          </w:p>
        </w:tc>
        <w:tc>
          <w:tcPr>
            <w:tcW w:w="583" w:type="dxa"/>
            <w:tcBorders>
              <w:top w:val="nil"/>
              <w:left w:val="nil"/>
              <w:bottom w:val="single" w:sz="4" w:space="0" w:color="auto"/>
              <w:right w:val="single" w:sz="4" w:space="0" w:color="auto"/>
            </w:tcBorders>
            <w:shd w:val="clear" w:color="auto" w:fill="auto"/>
            <w:noWrap/>
            <w:vAlign w:val="center"/>
            <w:hideMark/>
          </w:tcPr>
          <w:p w14:paraId="06A6C40F"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1.2</w:t>
            </w:r>
          </w:p>
        </w:tc>
        <w:tc>
          <w:tcPr>
            <w:tcW w:w="583" w:type="dxa"/>
            <w:tcBorders>
              <w:top w:val="nil"/>
              <w:left w:val="nil"/>
              <w:bottom w:val="single" w:sz="4" w:space="0" w:color="auto"/>
              <w:right w:val="single" w:sz="4" w:space="0" w:color="auto"/>
            </w:tcBorders>
            <w:shd w:val="clear" w:color="auto" w:fill="auto"/>
            <w:noWrap/>
            <w:vAlign w:val="center"/>
            <w:hideMark/>
          </w:tcPr>
          <w:p w14:paraId="46BC250D"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1.0</w:t>
            </w:r>
          </w:p>
        </w:tc>
        <w:tc>
          <w:tcPr>
            <w:tcW w:w="576" w:type="dxa"/>
            <w:tcBorders>
              <w:top w:val="nil"/>
              <w:left w:val="nil"/>
              <w:bottom w:val="single" w:sz="4" w:space="0" w:color="auto"/>
              <w:right w:val="single" w:sz="4" w:space="0" w:color="auto"/>
            </w:tcBorders>
            <w:shd w:val="clear" w:color="auto" w:fill="auto"/>
            <w:noWrap/>
            <w:vAlign w:val="center"/>
            <w:hideMark/>
          </w:tcPr>
          <w:p w14:paraId="3AE64701"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0.9</w:t>
            </w:r>
          </w:p>
        </w:tc>
        <w:tc>
          <w:tcPr>
            <w:tcW w:w="583" w:type="dxa"/>
            <w:tcBorders>
              <w:top w:val="nil"/>
              <w:left w:val="nil"/>
              <w:bottom w:val="single" w:sz="4" w:space="0" w:color="auto"/>
              <w:right w:val="single" w:sz="4" w:space="0" w:color="auto"/>
            </w:tcBorders>
            <w:shd w:val="clear" w:color="auto" w:fill="auto"/>
            <w:noWrap/>
            <w:vAlign w:val="center"/>
            <w:hideMark/>
          </w:tcPr>
          <w:p w14:paraId="2F3EBEB1"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0.6</w:t>
            </w:r>
          </w:p>
        </w:tc>
        <w:tc>
          <w:tcPr>
            <w:tcW w:w="576" w:type="dxa"/>
            <w:tcBorders>
              <w:top w:val="nil"/>
              <w:left w:val="nil"/>
              <w:bottom w:val="single" w:sz="4" w:space="0" w:color="auto"/>
              <w:right w:val="single" w:sz="4" w:space="0" w:color="auto"/>
            </w:tcBorders>
            <w:shd w:val="clear" w:color="auto" w:fill="auto"/>
            <w:noWrap/>
            <w:vAlign w:val="center"/>
            <w:hideMark/>
          </w:tcPr>
          <w:p w14:paraId="1526512A"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0.4</w:t>
            </w:r>
          </w:p>
        </w:tc>
        <w:tc>
          <w:tcPr>
            <w:tcW w:w="576" w:type="dxa"/>
            <w:tcBorders>
              <w:top w:val="nil"/>
              <w:left w:val="nil"/>
              <w:bottom w:val="single" w:sz="4" w:space="0" w:color="auto"/>
              <w:right w:val="single" w:sz="4" w:space="0" w:color="auto"/>
            </w:tcBorders>
            <w:shd w:val="clear" w:color="auto" w:fill="auto"/>
            <w:noWrap/>
            <w:vAlign w:val="center"/>
            <w:hideMark/>
          </w:tcPr>
          <w:p w14:paraId="7A0468F5"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0.3</w:t>
            </w:r>
          </w:p>
        </w:tc>
        <w:tc>
          <w:tcPr>
            <w:tcW w:w="576" w:type="dxa"/>
            <w:tcBorders>
              <w:top w:val="nil"/>
              <w:left w:val="nil"/>
              <w:bottom w:val="single" w:sz="4" w:space="0" w:color="auto"/>
              <w:right w:val="single" w:sz="4" w:space="0" w:color="auto"/>
            </w:tcBorders>
            <w:shd w:val="clear" w:color="auto" w:fill="auto"/>
            <w:noWrap/>
            <w:vAlign w:val="center"/>
            <w:hideMark/>
          </w:tcPr>
          <w:p w14:paraId="163B81C2"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0.2</w:t>
            </w:r>
          </w:p>
        </w:tc>
      </w:tr>
      <w:tr w:rsidR="00E37B2F" w:rsidRPr="00E37B2F" w14:paraId="6F9FAA00" w14:textId="77777777" w:rsidTr="00DC4829">
        <w:trPr>
          <w:trHeight w:val="58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4E5D7EA4"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15</w:t>
            </w:r>
          </w:p>
        </w:tc>
        <w:tc>
          <w:tcPr>
            <w:tcW w:w="582" w:type="dxa"/>
            <w:tcBorders>
              <w:top w:val="nil"/>
              <w:left w:val="nil"/>
              <w:bottom w:val="single" w:sz="4" w:space="0" w:color="auto"/>
              <w:right w:val="single" w:sz="4" w:space="0" w:color="auto"/>
            </w:tcBorders>
            <w:shd w:val="clear" w:color="auto" w:fill="auto"/>
            <w:noWrap/>
            <w:vAlign w:val="center"/>
            <w:hideMark/>
          </w:tcPr>
          <w:p w14:paraId="73D0306B"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3.1</w:t>
            </w:r>
          </w:p>
        </w:tc>
        <w:tc>
          <w:tcPr>
            <w:tcW w:w="582" w:type="dxa"/>
            <w:tcBorders>
              <w:top w:val="nil"/>
              <w:left w:val="nil"/>
              <w:bottom w:val="single" w:sz="4" w:space="0" w:color="auto"/>
              <w:right w:val="single" w:sz="4" w:space="0" w:color="auto"/>
            </w:tcBorders>
            <w:shd w:val="clear" w:color="auto" w:fill="auto"/>
            <w:noWrap/>
            <w:vAlign w:val="center"/>
            <w:hideMark/>
          </w:tcPr>
          <w:p w14:paraId="14DE66B8"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2.5</w:t>
            </w:r>
          </w:p>
        </w:tc>
        <w:tc>
          <w:tcPr>
            <w:tcW w:w="583" w:type="dxa"/>
            <w:tcBorders>
              <w:top w:val="nil"/>
              <w:left w:val="nil"/>
              <w:bottom w:val="single" w:sz="4" w:space="0" w:color="auto"/>
              <w:right w:val="single" w:sz="4" w:space="0" w:color="auto"/>
            </w:tcBorders>
            <w:shd w:val="clear" w:color="auto" w:fill="auto"/>
            <w:noWrap/>
            <w:vAlign w:val="center"/>
            <w:hideMark/>
          </w:tcPr>
          <w:p w14:paraId="33175F69"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2.1</w:t>
            </w:r>
          </w:p>
        </w:tc>
        <w:tc>
          <w:tcPr>
            <w:tcW w:w="583" w:type="dxa"/>
            <w:tcBorders>
              <w:top w:val="nil"/>
              <w:left w:val="nil"/>
              <w:bottom w:val="single" w:sz="4" w:space="0" w:color="auto"/>
              <w:right w:val="single" w:sz="4" w:space="0" w:color="auto"/>
            </w:tcBorders>
            <w:shd w:val="clear" w:color="auto" w:fill="auto"/>
            <w:noWrap/>
            <w:vAlign w:val="center"/>
            <w:hideMark/>
          </w:tcPr>
          <w:p w14:paraId="22B40C53"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1.8</w:t>
            </w:r>
          </w:p>
        </w:tc>
        <w:tc>
          <w:tcPr>
            <w:tcW w:w="583" w:type="dxa"/>
            <w:tcBorders>
              <w:top w:val="nil"/>
              <w:left w:val="nil"/>
              <w:bottom w:val="single" w:sz="4" w:space="0" w:color="auto"/>
              <w:right w:val="single" w:sz="4" w:space="0" w:color="auto"/>
            </w:tcBorders>
            <w:shd w:val="clear" w:color="auto" w:fill="auto"/>
            <w:noWrap/>
            <w:vAlign w:val="center"/>
            <w:hideMark/>
          </w:tcPr>
          <w:p w14:paraId="70498312"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1.6</w:t>
            </w:r>
          </w:p>
        </w:tc>
        <w:tc>
          <w:tcPr>
            <w:tcW w:w="576" w:type="dxa"/>
            <w:tcBorders>
              <w:top w:val="nil"/>
              <w:left w:val="nil"/>
              <w:bottom w:val="single" w:sz="4" w:space="0" w:color="auto"/>
              <w:right w:val="single" w:sz="4" w:space="0" w:color="auto"/>
            </w:tcBorders>
            <w:shd w:val="clear" w:color="auto" w:fill="auto"/>
            <w:noWrap/>
            <w:vAlign w:val="center"/>
            <w:hideMark/>
          </w:tcPr>
          <w:p w14:paraId="4F364F36"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1.4</w:t>
            </w:r>
          </w:p>
        </w:tc>
        <w:tc>
          <w:tcPr>
            <w:tcW w:w="583" w:type="dxa"/>
            <w:tcBorders>
              <w:top w:val="nil"/>
              <w:left w:val="nil"/>
              <w:bottom w:val="single" w:sz="4" w:space="0" w:color="auto"/>
              <w:right w:val="single" w:sz="4" w:space="0" w:color="auto"/>
            </w:tcBorders>
            <w:shd w:val="clear" w:color="auto" w:fill="auto"/>
            <w:noWrap/>
            <w:vAlign w:val="center"/>
            <w:hideMark/>
          </w:tcPr>
          <w:p w14:paraId="7189A640"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0.9</w:t>
            </w:r>
          </w:p>
        </w:tc>
        <w:tc>
          <w:tcPr>
            <w:tcW w:w="576" w:type="dxa"/>
            <w:tcBorders>
              <w:top w:val="nil"/>
              <w:left w:val="nil"/>
              <w:bottom w:val="single" w:sz="4" w:space="0" w:color="auto"/>
              <w:right w:val="single" w:sz="4" w:space="0" w:color="auto"/>
            </w:tcBorders>
            <w:shd w:val="clear" w:color="auto" w:fill="auto"/>
            <w:noWrap/>
            <w:vAlign w:val="center"/>
            <w:hideMark/>
          </w:tcPr>
          <w:p w14:paraId="48BBEB12"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0.7</w:t>
            </w:r>
          </w:p>
        </w:tc>
        <w:tc>
          <w:tcPr>
            <w:tcW w:w="576" w:type="dxa"/>
            <w:tcBorders>
              <w:top w:val="nil"/>
              <w:left w:val="nil"/>
              <w:bottom w:val="single" w:sz="4" w:space="0" w:color="auto"/>
              <w:right w:val="single" w:sz="4" w:space="0" w:color="auto"/>
            </w:tcBorders>
            <w:shd w:val="clear" w:color="auto" w:fill="auto"/>
            <w:noWrap/>
            <w:vAlign w:val="center"/>
            <w:hideMark/>
          </w:tcPr>
          <w:p w14:paraId="6C35FB43"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0.4</w:t>
            </w:r>
          </w:p>
        </w:tc>
        <w:tc>
          <w:tcPr>
            <w:tcW w:w="576" w:type="dxa"/>
            <w:tcBorders>
              <w:top w:val="nil"/>
              <w:left w:val="nil"/>
              <w:bottom w:val="single" w:sz="4" w:space="0" w:color="auto"/>
              <w:right w:val="single" w:sz="4" w:space="0" w:color="auto"/>
            </w:tcBorders>
            <w:shd w:val="clear" w:color="auto" w:fill="auto"/>
            <w:noWrap/>
            <w:vAlign w:val="center"/>
            <w:hideMark/>
          </w:tcPr>
          <w:p w14:paraId="6DF51E7E"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0.3</w:t>
            </w:r>
          </w:p>
        </w:tc>
      </w:tr>
      <w:tr w:rsidR="00E37B2F" w:rsidRPr="00E37B2F" w14:paraId="19DC9A61" w14:textId="77777777" w:rsidTr="00DC4829">
        <w:trPr>
          <w:trHeight w:val="58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5B49C74C"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20</w:t>
            </w:r>
          </w:p>
        </w:tc>
        <w:tc>
          <w:tcPr>
            <w:tcW w:w="582" w:type="dxa"/>
            <w:tcBorders>
              <w:top w:val="nil"/>
              <w:left w:val="nil"/>
              <w:bottom w:val="single" w:sz="4" w:space="0" w:color="auto"/>
              <w:right w:val="single" w:sz="4" w:space="0" w:color="auto"/>
            </w:tcBorders>
            <w:shd w:val="clear" w:color="auto" w:fill="auto"/>
            <w:noWrap/>
            <w:vAlign w:val="center"/>
            <w:hideMark/>
          </w:tcPr>
          <w:p w14:paraId="386F8DD8"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4.4</w:t>
            </w:r>
          </w:p>
        </w:tc>
        <w:tc>
          <w:tcPr>
            <w:tcW w:w="582" w:type="dxa"/>
            <w:tcBorders>
              <w:top w:val="nil"/>
              <w:left w:val="nil"/>
              <w:bottom w:val="single" w:sz="4" w:space="0" w:color="auto"/>
              <w:right w:val="single" w:sz="4" w:space="0" w:color="auto"/>
            </w:tcBorders>
            <w:shd w:val="clear" w:color="auto" w:fill="auto"/>
            <w:noWrap/>
            <w:vAlign w:val="center"/>
            <w:hideMark/>
          </w:tcPr>
          <w:p w14:paraId="2AA16C24"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3.5</w:t>
            </w:r>
          </w:p>
        </w:tc>
        <w:tc>
          <w:tcPr>
            <w:tcW w:w="583" w:type="dxa"/>
            <w:tcBorders>
              <w:top w:val="nil"/>
              <w:left w:val="nil"/>
              <w:bottom w:val="single" w:sz="4" w:space="0" w:color="auto"/>
              <w:right w:val="single" w:sz="4" w:space="0" w:color="auto"/>
            </w:tcBorders>
            <w:shd w:val="clear" w:color="auto" w:fill="auto"/>
            <w:noWrap/>
            <w:vAlign w:val="center"/>
            <w:hideMark/>
          </w:tcPr>
          <w:p w14:paraId="0DBE5E4C"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2.9</w:t>
            </w:r>
          </w:p>
        </w:tc>
        <w:tc>
          <w:tcPr>
            <w:tcW w:w="583" w:type="dxa"/>
            <w:tcBorders>
              <w:top w:val="nil"/>
              <w:left w:val="nil"/>
              <w:bottom w:val="single" w:sz="4" w:space="0" w:color="auto"/>
              <w:right w:val="single" w:sz="4" w:space="0" w:color="auto"/>
            </w:tcBorders>
            <w:shd w:val="clear" w:color="auto" w:fill="auto"/>
            <w:noWrap/>
            <w:vAlign w:val="center"/>
            <w:hideMark/>
          </w:tcPr>
          <w:p w14:paraId="5B344C72"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2.5</w:t>
            </w:r>
          </w:p>
        </w:tc>
        <w:tc>
          <w:tcPr>
            <w:tcW w:w="583" w:type="dxa"/>
            <w:tcBorders>
              <w:top w:val="nil"/>
              <w:left w:val="nil"/>
              <w:bottom w:val="single" w:sz="4" w:space="0" w:color="auto"/>
              <w:right w:val="single" w:sz="4" w:space="0" w:color="auto"/>
            </w:tcBorders>
            <w:shd w:val="clear" w:color="auto" w:fill="auto"/>
            <w:noWrap/>
            <w:vAlign w:val="center"/>
            <w:hideMark/>
          </w:tcPr>
          <w:p w14:paraId="00658C28"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2.2</w:t>
            </w:r>
          </w:p>
        </w:tc>
        <w:tc>
          <w:tcPr>
            <w:tcW w:w="576" w:type="dxa"/>
            <w:tcBorders>
              <w:top w:val="nil"/>
              <w:left w:val="nil"/>
              <w:bottom w:val="single" w:sz="4" w:space="0" w:color="auto"/>
              <w:right w:val="single" w:sz="4" w:space="0" w:color="auto"/>
            </w:tcBorders>
            <w:shd w:val="clear" w:color="auto" w:fill="auto"/>
            <w:noWrap/>
            <w:vAlign w:val="center"/>
            <w:hideMark/>
          </w:tcPr>
          <w:p w14:paraId="52BE8CBB"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1.9</w:t>
            </w:r>
          </w:p>
        </w:tc>
        <w:tc>
          <w:tcPr>
            <w:tcW w:w="583" w:type="dxa"/>
            <w:tcBorders>
              <w:top w:val="nil"/>
              <w:left w:val="nil"/>
              <w:bottom w:val="single" w:sz="4" w:space="0" w:color="auto"/>
              <w:right w:val="single" w:sz="4" w:space="0" w:color="auto"/>
            </w:tcBorders>
            <w:shd w:val="clear" w:color="auto" w:fill="auto"/>
            <w:noWrap/>
            <w:vAlign w:val="center"/>
            <w:hideMark/>
          </w:tcPr>
          <w:p w14:paraId="7329D698"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1.2</w:t>
            </w:r>
          </w:p>
        </w:tc>
        <w:tc>
          <w:tcPr>
            <w:tcW w:w="576" w:type="dxa"/>
            <w:tcBorders>
              <w:top w:val="nil"/>
              <w:left w:val="nil"/>
              <w:bottom w:val="single" w:sz="4" w:space="0" w:color="auto"/>
              <w:right w:val="single" w:sz="4" w:space="0" w:color="auto"/>
            </w:tcBorders>
            <w:shd w:val="clear" w:color="auto" w:fill="auto"/>
            <w:noWrap/>
            <w:vAlign w:val="center"/>
            <w:hideMark/>
          </w:tcPr>
          <w:p w14:paraId="271A8CB1"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0.9</w:t>
            </w:r>
          </w:p>
        </w:tc>
        <w:tc>
          <w:tcPr>
            <w:tcW w:w="576" w:type="dxa"/>
            <w:tcBorders>
              <w:top w:val="nil"/>
              <w:left w:val="nil"/>
              <w:bottom w:val="single" w:sz="4" w:space="0" w:color="auto"/>
              <w:right w:val="single" w:sz="4" w:space="0" w:color="auto"/>
            </w:tcBorders>
            <w:shd w:val="clear" w:color="auto" w:fill="auto"/>
            <w:noWrap/>
            <w:vAlign w:val="center"/>
            <w:hideMark/>
          </w:tcPr>
          <w:p w14:paraId="4094255D"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0.6</w:t>
            </w:r>
          </w:p>
        </w:tc>
        <w:tc>
          <w:tcPr>
            <w:tcW w:w="576" w:type="dxa"/>
            <w:tcBorders>
              <w:top w:val="nil"/>
              <w:left w:val="nil"/>
              <w:bottom w:val="single" w:sz="4" w:space="0" w:color="auto"/>
              <w:right w:val="single" w:sz="4" w:space="0" w:color="auto"/>
            </w:tcBorders>
            <w:shd w:val="clear" w:color="auto" w:fill="auto"/>
            <w:noWrap/>
            <w:vAlign w:val="center"/>
            <w:hideMark/>
          </w:tcPr>
          <w:p w14:paraId="0E6A2A12"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0.4</w:t>
            </w:r>
          </w:p>
        </w:tc>
      </w:tr>
      <w:tr w:rsidR="00E37B2F" w:rsidRPr="00E37B2F" w14:paraId="0DD8D689" w14:textId="77777777" w:rsidTr="00DC4829">
        <w:trPr>
          <w:trHeight w:val="58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3F1B4AAA"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25</w:t>
            </w:r>
          </w:p>
        </w:tc>
        <w:tc>
          <w:tcPr>
            <w:tcW w:w="582" w:type="dxa"/>
            <w:tcBorders>
              <w:top w:val="nil"/>
              <w:left w:val="nil"/>
              <w:bottom w:val="single" w:sz="4" w:space="0" w:color="auto"/>
              <w:right w:val="single" w:sz="4" w:space="0" w:color="auto"/>
            </w:tcBorders>
            <w:shd w:val="clear" w:color="auto" w:fill="auto"/>
            <w:noWrap/>
            <w:vAlign w:val="center"/>
            <w:hideMark/>
          </w:tcPr>
          <w:p w14:paraId="150C23EB"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6.0</w:t>
            </w:r>
          </w:p>
        </w:tc>
        <w:tc>
          <w:tcPr>
            <w:tcW w:w="582" w:type="dxa"/>
            <w:tcBorders>
              <w:top w:val="nil"/>
              <w:left w:val="nil"/>
              <w:bottom w:val="single" w:sz="4" w:space="0" w:color="auto"/>
              <w:right w:val="single" w:sz="4" w:space="0" w:color="auto"/>
            </w:tcBorders>
            <w:shd w:val="clear" w:color="auto" w:fill="auto"/>
            <w:noWrap/>
            <w:vAlign w:val="center"/>
            <w:hideMark/>
          </w:tcPr>
          <w:p w14:paraId="0DCA9EC7"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4.7</w:t>
            </w:r>
          </w:p>
        </w:tc>
        <w:tc>
          <w:tcPr>
            <w:tcW w:w="583" w:type="dxa"/>
            <w:tcBorders>
              <w:top w:val="nil"/>
              <w:left w:val="nil"/>
              <w:bottom w:val="single" w:sz="4" w:space="0" w:color="auto"/>
              <w:right w:val="single" w:sz="4" w:space="0" w:color="auto"/>
            </w:tcBorders>
            <w:shd w:val="clear" w:color="auto" w:fill="auto"/>
            <w:noWrap/>
            <w:vAlign w:val="center"/>
            <w:hideMark/>
          </w:tcPr>
          <w:p w14:paraId="3139F8CF"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3.8</w:t>
            </w:r>
          </w:p>
        </w:tc>
        <w:tc>
          <w:tcPr>
            <w:tcW w:w="583" w:type="dxa"/>
            <w:tcBorders>
              <w:top w:val="nil"/>
              <w:left w:val="nil"/>
              <w:bottom w:val="single" w:sz="4" w:space="0" w:color="auto"/>
              <w:right w:val="single" w:sz="4" w:space="0" w:color="auto"/>
            </w:tcBorders>
            <w:shd w:val="clear" w:color="auto" w:fill="auto"/>
            <w:noWrap/>
            <w:vAlign w:val="center"/>
            <w:hideMark/>
          </w:tcPr>
          <w:p w14:paraId="180ADFBD"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3.3</w:t>
            </w:r>
          </w:p>
        </w:tc>
        <w:tc>
          <w:tcPr>
            <w:tcW w:w="583" w:type="dxa"/>
            <w:tcBorders>
              <w:top w:val="nil"/>
              <w:left w:val="nil"/>
              <w:bottom w:val="single" w:sz="4" w:space="0" w:color="auto"/>
              <w:right w:val="single" w:sz="4" w:space="0" w:color="auto"/>
            </w:tcBorders>
            <w:shd w:val="clear" w:color="auto" w:fill="auto"/>
            <w:noWrap/>
            <w:vAlign w:val="center"/>
            <w:hideMark/>
          </w:tcPr>
          <w:p w14:paraId="74361486"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2.8</w:t>
            </w:r>
          </w:p>
        </w:tc>
        <w:tc>
          <w:tcPr>
            <w:tcW w:w="576" w:type="dxa"/>
            <w:tcBorders>
              <w:top w:val="nil"/>
              <w:left w:val="nil"/>
              <w:bottom w:val="single" w:sz="4" w:space="0" w:color="auto"/>
              <w:right w:val="single" w:sz="4" w:space="0" w:color="auto"/>
            </w:tcBorders>
            <w:shd w:val="clear" w:color="auto" w:fill="auto"/>
            <w:noWrap/>
            <w:vAlign w:val="center"/>
            <w:hideMark/>
          </w:tcPr>
          <w:p w14:paraId="59BE41BA"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2.5</w:t>
            </w:r>
          </w:p>
        </w:tc>
        <w:tc>
          <w:tcPr>
            <w:tcW w:w="583" w:type="dxa"/>
            <w:tcBorders>
              <w:top w:val="nil"/>
              <w:left w:val="nil"/>
              <w:bottom w:val="single" w:sz="4" w:space="0" w:color="auto"/>
              <w:right w:val="single" w:sz="4" w:space="0" w:color="auto"/>
            </w:tcBorders>
            <w:shd w:val="clear" w:color="auto" w:fill="auto"/>
            <w:noWrap/>
            <w:vAlign w:val="center"/>
            <w:hideMark/>
          </w:tcPr>
          <w:p w14:paraId="72EC6FE2"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1.6</w:t>
            </w:r>
          </w:p>
        </w:tc>
        <w:tc>
          <w:tcPr>
            <w:tcW w:w="576" w:type="dxa"/>
            <w:tcBorders>
              <w:top w:val="nil"/>
              <w:left w:val="nil"/>
              <w:bottom w:val="single" w:sz="4" w:space="0" w:color="auto"/>
              <w:right w:val="single" w:sz="4" w:space="0" w:color="auto"/>
            </w:tcBorders>
            <w:shd w:val="clear" w:color="auto" w:fill="auto"/>
            <w:noWrap/>
            <w:vAlign w:val="center"/>
            <w:hideMark/>
          </w:tcPr>
          <w:p w14:paraId="738D1FD8"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1.2</w:t>
            </w:r>
          </w:p>
        </w:tc>
        <w:tc>
          <w:tcPr>
            <w:tcW w:w="576" w:type="dxa"/>
            <w:tcBorders>
              <w:top w:val="nil"/>
              <w:left w:val="nil"/>
              <w:bottom w:val="single" w:sz="4" w:space="0" w:color="auto"/>
              <w:right w:val="single" w:sz="4" w:space="0" w:color="auto"/>
            </w:tcBorders>
            <w:shd w:val="clear" w:color="auto" w:fill="auto"/>
            <w:noWrap/>
            <w:vAlign w:val="center"/>
            <w:hideMark/>
          </w:tcPr>
          <w:p w14:paraId="080B8D4B"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0.8</w:t>
            </w:r>
          </w:p>
        </w:tc>
        <w:tc>
          <w:tcPr>
            <w:tcW w:w="576" w:type="dxa"/>
            <w:tcBorders>
              <w:top w:val="nil"/>
              <w:left w:val="nil"/>
              <w:bottom w:val="single" w:sz="4" w:space="0" w:color="auto"/>
              <w:right w:val="single" w:sz="4" w:space="0" w:color="auto"/>
            </w:tcBorders>
            <w:shd w:val="clear" w:color="auto" w:fill="auto"/>
            <w:noWrap/>
            <w:vAlign w:val="center"/>
            <w:hideMark/>
          </w:tcPr>
          <w:p w14:paraId="3E383869"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0.6</w:t>
            </w:r>
          </w:p>
        </w:tc>
      </w:tr>
      <w:tr w:rsidR="00E37B2F" w:rsidRPr="00E37B2F" w14:paraId="3F030655" w14:textId="77777777" w:rsidTr="00DC4829">
        <w:trPr>
          <w:trHeight w:val="580"/>
          <w:jc w:val="center"/>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52AAF6B2" w14:textId="77777777" w:rsidR="00E37B2F" w:rsidRPr="00E37B2F" w:rsidRDefault="00E37B2F" w:rsidP="00E37B2F">
            <w:pPr>
              <w:spacing w:after="0" w:line="240" w:lineRule="auto"/>
              <w:jc w:val="center"/>
              <w:rPr>
                <w:rFonts w:ascii="Calibri" w:eastAsia="Times New Roman" w:hAnsi="Calibri" w:cs="Calibri"/>
                <w:b/>
                <w:bCs/>
                <w:color w:val="000000"/>
                <w:sz w:val="24"/>
                <w:szCs w:val="24"/>
                <w:lang w:eastAsia="en-US"/>
              </w:rPr>
            </w:pPr>
            <w:r w:rsidRPr="00E37B2F">
              <w:rPr>
                <w:rFonts w:ascii="Calibri" w:eastAsia="Times New Roman" w:hAnsi="Calibri" w:cs="Calibri"/>
                <w:b/>
                <w:bCs/>
                <w:color w:val="000000"/>
                <w:sz w:val="24"/>
                <w:szCs w:val="24"/>
                <w:lang w:eastAsia="en-US"/>
              </w:rPr>
              <w:t>30</w:t>
            </w:r>
          </w:p>
        </w:tc>
        <w:tc>
          <w:tcPr>
            <w:tcW w:w="582" w:type="dxa"/>
            <w:tcBorders>
              <w:top w:val="nil"/>
              <w:left w:val="nil"/>
              <w:bottom w:val="single" w:sz="4" w:space="0" w:color="auto"/>
              <w:right w:val="single" w:sz="4" w:space="0" w:color="auto"/>
            </w:tcBorders>
            <w:shd w:val="clear" w:color="auto" w:fill="auto"/>
            <w:noWrap/>
            <w:vAlign w:val="center"/>
            <w:hideMark/>
          </w:tcPr>
          <w:p w14:paraId="03C6FBF6"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8.0</w:t>
            </w:r>
          </w:p>
        </w:tc>
        <w:tc>
          <w:tcPr>
            <w:tcW w:w="582" w:type="dxa"/>
            <w:tcBorders>
              <w:top w:val="nil"/>
              <w:left w:val="nil"/>
              <w:bottom w:val="single" w:sz="4" w:space="0" w:color="auto"/>
              <w:right w:val="single" w:sz="4" w:space="0" w:color="auto"/>
            </w:tcBorders>
            <w:shd w:val="clear" w:color="auto" w:fill="auto"/>
            <w:noWrap/>
            <w:vAlign w:val="center"/>
            <w:hideMark/>
          </w:tcPr>
          <w:p w14:paraId="03BCB20F"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6.0</w:t>
            </w:r>
          </w:p>
        </w:tc>
        <w:tc>
          <w:tcPr>
            <w:tcW w:w="583" w:type="dxa"/>
            <w:tcBorders>
              <w:top w:val="nil"/>
              <w:left w:val="nil"/>
              <w:bottom w:val="single" w:sz="4" w:space="0" w:color="auto"/>
              <w:right w:val="single" w:sz="4" w:space="0" w:color="auto"/>
            </w:tcBorders>
            <w:shd w:val="clear" w:color="auto" w:fill="auto"/>
            <w:noWrap/>
            <w:vAlign w:val="center"/>
            <w:hideMark/>
          </w:tcPr>
          <w:p w14:paraId="7907AAEF"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4.9</w:t>
            </w:r>
          </w:p>
        </w:tc>
        <w:tc>
          <w:tcPr>
            <w:tcW w:w="583" w:type="dxa"/>
            <w:tcBorders>
              <w:top w:val="nil"/>
              <w:left w:val="nil"/>
              <w:bottom w:val="single" w:sz="4" w:space="0" w:color="auto"/>
              <w:right w:val="single" w:sz="4" w:space="0" w:color="auto"/>
            </w:tcBorders>
            <w:shd w:val="clear" w:color="auto" w:fill="auto"/>
            <w:noWrap/>
            <w:vAlign w:val="center"/>
            <w:hideMark/>
          </w:tcPr>
          <w:p w14:paraId="36358996"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4.1</w:t>
            </w:r>
          </w:p>
        </w:tc>
        <w:tc>
          <w:tcPr>
            <w:tcW w:w="583" w:type="dxa"/>
            <w:tcBorders>
              <w:top w:val="nil"/>
              <w:left w:val="nil"/>
              <w:bottom w:val="single" w:sz="4" w:space="0" w:color="auto"/>
              <w:right w:val="single" w:sz="4" w:space="0" w:color="auto"/>
            </w:tcBorders>
            <w:shd w:val="clear" w:color="auto" w:fill="auto"/>
            <w:noWrap/>
            <w:vAlign w:val="center"/>
            <w:hideMark/>
          </w:tcPr>
          <w:p w14:paraId="3EEC1596"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3.5</w:t>
            </w:r>
          </w:p>
        </w:tc>
        <w:tc>
          <w:tcPr>
            <w:tcW w:w="576" w:type="dxa"/>
            <w:tcBorders>
              <w:top w:val="nil"/>
              <w:left w:val="nil"/>
              <w:bottom w:val="single" w:sz="4" w:space="0" w:color="auto"/>
              <w:right w:val="single" w:sz="4" w:space="0" w:color="auto"/>
            </w:tcBorders>
            <w:shd w:val="clear" w:color="auto" w:fill="auto"/>
            <w:noWrap/>
            <w:vAlign w:val="center"/>
            <w:hideMark/>
          </w:tcPr>
          <w:p w14:paraId="0204EA05"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3.1</w:t>
            </w:r>
          </w:p>
        </w:tc>
        <w:tc>
          <w:tcPr>
            <w:tcW w:w="583" w:type="dxa"/>
            <w:tcBorders>
              <w:top w:val="nil"/>
              <w:left w:val="nil"/>
              <w:bottom w:val="single" w:sz="4" w:space="0" w:color="auto"/>
              <w:right w:val="single" w:sz="4" w:space="0" w:color="auto"/>
            </w:tcBorders>
            <w:shd w:val="clear" w:color="auto" w:fill="auto"/>
            <w:noWrap/>
            <w:vAlign w:val="center"/>
            <w:hideMark/>
          </w:tcPr>
          <w:p w14:paraId="11928315"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1.9</w:t>
            </w:r>
          </w:p>
        </w:tc>
        <w:tc>
          <w:tcPr>
            <w:tcW w:w="576" w:type="dxa"/>
            <w:tcBorders>
              <w:top w:val="nil"/>
              <w:left w:val="nil"/>
              <w:bottom w:val="single" w:sz="4" w:space="0" w:color="auto"/>
              <w:right w:val="single" w:sz="4" w:space="0" w:color="auto"/>
            </w:tcBorders>
            <w:shd w:val="clear" w:color="auto" w:fill="auto"/>
            <w:noWrap/>
            <w:vAlign w:val="center"/>
            <w:hideMark/>
          </w:tcPr>
          <w:p w14:paraId="3CBB7820"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1.4</w:t>
            </w:r>
          </w:p>
        </w:tc>
        <w:tc>
          <w:tcPr>
            <w:tcW w:w="576" w:type="dxa"/>
            <w:tcBorders>
              <w:top w:val="nil"/>
              <w:left w:val="nil"/>
              <w:bottom w:val="single" w:sz="4" w:space="0" w:color="auto"/>
              <w:right w:val="single" w:sz="4" w:space="0" w:color="auto"/>
            </w:tcBorders>
            <w:shd w:val="clear" w:color="auto" w:fill="auto"/>
            <w:noWrap/>
            <w:vAlign w:val="center"/>
            <w:hideMark/>
          </w:tcPr>
          <w:p w14:paraId="7EFC36A4"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0.9</w:t>
            </w:r>
          </w:p>
        </w:tc>
        <w:tc>
          <w:tcPr>
            <w:tcW w:w="576" w:type="dxa"/>
            <w:tcBorders>
              <w:top w:val="nil"/>
              <w:left w:val="nil"/>
              <w:bottom w:val="single" w:sz="4" w:space="0" w:color="auto"/>
              <w:right w:val="single" w:sz="4" w:space="0" w:color="auto"/>
            </w:tcBorders>
            <w:shd w:val="clear" w:color="auto" w:fill="auto"/>
            <w:noWrap/>
            <w:vAlign w:val="center"/>
            <w:hideMark/>
          </w:tcPr>
          <w:p w14:paraId="2CC93BAC" w14:textId="77777777" w:rsidR="00E37B2F" w:rsidRPr="00E37B2F" w:rsidRDefault="00E37B2F" w:rsidP="00E37B2F">
            <w:pPr>
              <w:spacing w:after="0" w:line="240" w:lineRule="auto"/>
              <w:jc w:val="center"/>
              <w:rPr>
                <w:rFonts w:ascii="Calibri" w:eastAsia="Times New Roman" w:hAnsi="Calibri" w:cs="Calibri"/>
                <w:color w:val="000000"/>
                <w:sz w:val="24"/>
                <w:szCs w:val="24"/>
                <w:lang w:eastAsia="en-US"/>
              </w:rPr>
            </w:pPr>
            <w:r w:rsidRPr="00E37B2F">
              <w:rPr>
                <w:rFonts w:ascii="Calibri" w:eastAsia="Times New Roman" w:hAnsi="Calibri" w:cs="Calibri"/>
                <w:color w:val="000000"/>
                <w:sz w:val="24"/>
                <w:szCs w:val="24"/>
                <w:lang w:eastAsia="en-US"/>
              </w:rPr>
              <w:t>0.7</w:t>
            </w:r>
          </w:p>
        </w:tc>
      </w:tr>
    </w:tbl>
    <w:p w14:paraId="0F67D75C" w14:textId="170FC614" w:rsidR="00DC4829" w:rsidRDefault="00DC4829" w:rsidP="008266CA">
      <w:pPr>
        <w:jc w:val="both"/>
        <w:rPr>
          <w:lang w:val="en-GB"/>
        </w:rPr>
      </w:pPr>
    </w:p>
    <w:p w14:paraId="532EB951" w14:textId="77777777" w:rsidR="00DC4829" w:rsidRDefault="00DC4829">
      <w:pPr>
        <w:spacing w:after="0" w:line="240" w:lineRule="auto"/>
        <w:rPr>
          <w:lang w:val="en-GB"/>
        </w:rPr>
      </w:pPr>
      <w:r>
        <w:rPr>
          <w:lang w:val="en-GB"/>
        </w:rPr>
        <w:br w:type="page"/>
      </w:r>
    </w:p>
    <w:p w14:paraId="478BA52E" w14:textId="2C0953F1" w:rsidR="004339E0" w:rsidRDefault="00922336" w:rsidP="00922336">
      <w:pPr>
        <w:jc w:val="center"/>
        <w:rPr>
          <w:lang w:val="en-GB"/>
        </w:rPr>
      </w:pPr>
      <w:r w:rsidRPr="00922336">
        <w:rPr>
          <w:noProof/>
          <w:lang w:eastAsia="en-US"/>
        </w:rPr>
        <w:lastRenderedPageBreak/>
        <w:drawing>
          <wp:inline distT="0" distB="0" distL="0" distR="0" wp14:anchorId="41FA096C" wp14:editId="165AB353">
            <wp:extent cx="5029200" cy="22560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9200" cy="2256095"/>
                    </a:xfrm>
                    <a:prstGeom prst="rect">
                      <a:avLst/>
                    </a:prstGeom>
                    <a:noFill/>
                    <a:ln>
                      <a:noFill/>
                    </a:ln>
                  </pic:spPr>
                </pic:pic>
              </a:graphicData>
            </a:graphic>
          </wp:inline>
        </w:drawing>
      </w:r>
    </w:p>
    <w:p w14:paraId="4CF63E66" w14:textId="1ADF8C4F" w:rsidR="004339E0" w:rsidRDefault="004339E0" w:rsidP="00922336">
      <w:pPr>
        <w:jc w:val="center"/>
        <w:rPr>
          <w:lang w:val="en-GB"/>
        </w:rPr>
      </w:pPr>
      <w:r>
        <w:rPr>
          <w:lang w:val="en-GB"/>
        </w:rPr>
        <w:t>(a)</w:t>
      </w:r>
    </w:p>
    <w:p w14:paraId="040C0AFD" w14:textId="5CACDDC5" w:rsidR="00922336" w:rsidRDefault="00922336" w:rsidP="00922336">
      <w:pPr>
        <w:jc w:val="center"/>
        <w:rPr>
          <w:lang w:val="en-GB"/>
        </w:rPr>
      </w:pPr>
      <w:r w:rsidRPr="00922336">
        <w:rPr>
          <w:noProof/>
          <w:lang w:eastAsia="en-US"/>
        </w:rPr>
        <w:drawing>
          <wp:inline distT="0" distB="0" distL="0" distR="0" wp14:anchorId="4EFAF9CC" wp14:editId="338E1CB9">
            <wp:extent cx="5029200" cy="22730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9200" cy="2273050"/>
                    </a:xfrm>
                    <a:prstGeom prst="rect">
                      <a:avLst/>
                    </a:prstGeom>
                    <a:noFill/>
                    <a:ln>
                      <a:noFill/>
                    </a:ln>
                  </pic:spPr>
                </pic:pic>
              </a:graphicData>
            </a:graphic>
          </wp:inline>
        </w:drawing>
      </w:r>
    </w:p>
    <w:p w14:paraId="2887F535" w14:textId="72E80E20" w:rsidR="004339E0" w:rsidRDefault="004339E0" w:rsidP="004339E0">
      <w:pPr>
        <w:jc w:val="center"/>
        <w:rPr>
          <w:lang w:val="en-GB"/>
        </w:rPr>
      </w:pPr>
      <w:r>
        <w:rPr>
          <w:lang w:val="en-GB"/>
        </w:rPr>
        <w:t>(b)</w:t>
      </w:r>
    </w:p>
    <w:p w14:paraId="4B72D757" w14:textId="29215B5A" w:rsidR="008428A3" w:rsidRDefault="008428A3" w:rsidP="004339E0">
      <w:pPr>
        <w:jc w:val="center"/>
        <w:rPr>
          <w:lang w:val="en-GB"/>
        </w:rPr>
      </w:pPr>
      <w:r w:rsidRPr="001A08C6">
        <w:rPr>
          <w:b/>
          <w:lang w:val="en-GB"/>
        </w:rPr>
        <w:t xml:space="preserve">Figure </w:t>
      </w:r>
      <w:r>
        <w:rPr>
          <w:b/>
          <w:lang w:val="en-GB"/>
        </w:rPr>
        <w:t>3</w:t>
      </w:r>
      <w:r w:rsidRPr="001A08C6">
        <w:rPr>
          <w:b/>
          <w:lang w:val="en-GB"/>
        </w:rPr>
        <w:t xml:space="preserve">: </w:t>
      </w:r>
      <w:r>
        <w:rPr>
          <w:b/>
          <w:lang w:val="en-GB"/>
        </w:rPr>
        <w:t xml:space="preserve">Illustration of </w:t>
      </w:r>
      <w:r w:rsidR="00922336">
        <w:rPr>
          <w:b/>
          <w:lang w:val="en-GB"/>
        </w:rPr>
        <w:t>maximum path loss</w:t>
      </w:r>
      <w:r w:rsidR="00DC4829">
        <w:rPr>
          <w:b/>
          <w:lang w:val="en-GB"/>
        </w:rPr>
        <w:t xml:space="preserve"> difference between</w:t>
      </w:r>
      <w:r w:rsidR="00922336">
        <w:rPr>
          <w:b/>
          <w:lang w:val="en-GB"/>
        </w:rPr>
        <w:t xml:space="preserve"> a) </w:t>
      </w:r>
      <w:r w:rsidR="00DF318E">
        <w:rPr>
          <w:b/>
          <w:lang w:val="en-GB"/>
        </w:rPr>
        <w:t>a</w:t>
      </w:r>
      <w:r w:rsidR="00922336">
        <w:rPr>
          <w:b/>
          <w:lang w:val="en-GB"/>
        </w:rPr>
        <w:t xml:space="preserve">ntenna array A1 offset by </w:t>
      </w:r>
      <w:r w:rsidR="00922336" w:rsidRPr="00922336">
        <w:rPr>
          <w:rFonts w:ascii="Symbol" w:hAnsi="Symbol"/>
          <w:b/>
          <w:lang w:val="en-GB"/>
        </w:rPr>
        <w:t></w:t>
      </w:r>
      <w:r w:rsidR="00922336" w:rsidRPr="00922336">
        <w:rPr>
          <w:b/>
          <w:i/>
          <w:lang w:val="en-GB"/>
        </w:rPr>
        <w:t>d</w:t>
      </w:r>
      <w:r w:rsidR="00DC4829">
        <w:rPr>
          <w:b/>
          <w:lang w:val="en-GB"/>
        </w:rPr>
        <w:t xml:space="preserve"> from centre of quiet zone and</w:t>
      </w:r>
      <w:r w:rsidR="00922336">
        <w:rPr>
          <w:b/>
          <w:lang w:val="en-GB"/>
        </w:rPr>
        <w:t xml:space="preserve"> b) antenna array A1 centre at the centre of the quiet zone. </w:t>
      </w:r>
    </w:p>
    <w:p w14:paraId="1763E22E" w14:textId="5A8C8DC9" w:rsidR="007C6419" w:rsidRPr="00235C87" w:rsidRDefault="007C6419" w:rsidP="007C6419">
      <w:pPr>
        <w:pStyle w:val="Heading1"/>
        <w:rPr>
          <w:rFonts w:cs="Arial"/>
        </w:rPr>
      </w:pPr>
      <w:r>
        <w:rPr>
          <w:rFonts w:cs="Arial"/>
        </w:rPr>
        <w:t>White Box Approach</w:t>
      </w:r>
    </w:p>
    <w:p w14:paraId="6DE8BB07" w14:textId="3390CD66" w:rsidR="007C6419" w:rsidRDefault="007C6419" w:rsidP="007C6419">
      <w:pPr>
        <w:jc w:val="both"/>
        <w:rPr>
          <w:lang w:val="en-GB"/>
        </w:rPr>
      </w:pPr>
      <w:r>
        <w:rPr>
          <w:lang w:val="en-GB"/>
        </w:rPr>
        <w:t>In the white box approach, the DUT</w:t>
      </w:r>
      <w:r w:rsidR="00E86D0E">
        <w:rPr>
          <w:lang w:val="en-GB"/>
        </w:rPr>
        <w:t xml:space="preserve"> antenna architecture details </w:t>
      </w:r>
      <w:r w:rsidR="00114A84">
        <w:rPr>
          <w:lang w:val="en-GB"/>
        </w:rPr>
        <w:t>would have to be made available</w:t>
      </w:r>
      <w:r w:rsidR="00E86D0E">
        <w:rPr>
          <w:lang w:val="en-GB"/>
        </w:rPr>
        <w:t xml:space="preserve">, </w:t>
      </w:r>
      <w:r>
        <w:rPr>
          <w:lang w:val="en-GB"/>
        </w:rPr>
        <w:t>i.e., the location of the antenna arrays, the number of antenna arrays, and which antenna array is ac</w:t>
      </w:r>
      <w:r w:rsidR="00E86D0E">
        <w:rPr>
          <w:lang w:val="en-GB"/>
        </w:rPr>
        <w:t>tive at any given test point</w:t>
      </w:r>
      <w:r>
        <w:rPr>
          <w:lang w:val="en-GB"/>
        </w:rPr>
        <w:t xml:space="preserve">. The positioning of the DUT is </w:t>
      </w:r>
      <w:r w:rsidR="00114A84">
        <w:rPr>
          <w:lang w:val="en-GB"/>
        </w:rPr>
        <w:t>then</w:t>
      </w:r>
      <w:r>
        <w:rPr>
          <w:lang w:val="en-GB"/>
        </w:rPr>
        <w:t xml:space="preserve"> </w:t>
      </w:r>
      <w:r w:rsidR="00A61506">
        <w:rPr>
          <w:lang w:val="en-GB"/>
        </w:rPr>
        <w:t xml:space="preserve">based on the antenna array to be centred </w:t>
      </w:r>
      <w:r>
        <w:rPr>
          <w:lang w:val="en-GB"/>
        </w:rPr>
        <w:t xml:space="preserve">at the centre of the quiet zone/centre of the positioner axes. A test setup based on this </w:t>
      </w:r>
      <w:r w:rsidR="00A61506">
        <w:rPr>
          <w:lang w:val="en-GB"/>
        </w:rPr>
        <w:t>white box</w:t>
      </w:r>
      <w:r>
        <w:rPr>
          <w:lang w:val="en-GB"/>
        </w:rPr>
        <w:t xml:space="preserve"> approach is outlined in Figure </w:t>
      </w:r>
      <w:r w:rsidR="00A065C8">
        <w:rPr>
          <w:lang w:val="en-GB"/>
        </w:rPr>
        <w:t>4</w:t>
      </w:r>
      <w:r>
        <w:rPr>
          <w:lang w:val="en-GB"/>
        </w:rPr>
        <w:t xml:space="preserve">. </w:t>
      </w:r>
    </w:p>
    <w:p w14:paraId="145BDDDA" w14:textId="1F632708" w:rsidR="007C6419" w:rsidRDefault="00A61506" w:rsidP="007C6419">
      <w:pPr>
        <w:spacing w:after="0" w:line="240" w:lineRule="auto"/>
        <w:jc w:val="center"/>
        <w:rPr>
          <w:lang w:val="en-GB"/>
        </w:rPr>
      </w:pPr>
      <w:r w:rsidRPr="00A61506">
        <w:rPr>
          <w:noProof/>
          <w:lang w:eastAsia="en-US"/>
        </w:rPr>
        <w:lastRenderedPageBreak/>
        <w:drawing>
          <wp:inline distT="0" distB="0" distL="0" distR="0" wp14:anchorId="3A9F6E64" wp14:editId="3EF5D82F">
            <wp:extent cx="2859611" cy="2487168"/>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9611" cy="2487168"/>
                    </a:xfrm>
                    <a:prstGeom prst="rect">
                      <a:avLst/>
                    </a:prstGeom>
                    <a:noFill/>
                    <a:ln>
                      <a:noFill/>
                    </a:ln>
                  </pic:spPr>
                </pic:pic>
              </a:graphicData>
            </a:graphic>
          </wp:inline>
        </w:drawing>
      </w:r>
      <w:r w:rsidR="007C6419">
        <w:rPr>
          <w:lang w:val="en-GB"/>
        </w:rPr>
        <w:t xml:space="preserve">      </w:t>
      </w:r>
      <w:r w:rsidRPr="00A61506">
        <w:rPr>
          <w:noProof/>
          <w:lang w:eastAsia="en-US"/>
        </w:rPr>
        <w:drawing>
          <wp:inline distT="0" distB="0" distL="0" distR="0" wp14:anchorId="4B6F957E" wp14:editId="358B3FAF">
            <wp:extent cx="2743995" cy="2487168"/>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995" cy="2487168"/>
                    </a:xfrm>
                    <a:prstGeom prst="rect">
                      <a:avLst/>
                    </a:prstGeom>
                    <a:noFill/>
                    <a:ln>
                      <a:noFill/>
                    </a:ln>
                  </pic:spPr>
                </pic:pic>
              </a:graphicData>
            </a:graphic>
          </wp:inline>
        </w:drawing>
      </w:r>
    </w:p>
    <w:p w14:paraId="235AB3A9" w14:textId="081ABEFD" w:rsidR="007C6419" w:rsidRPr="0021359E" w:rsidRDefault="007C6419" w:rsidP="007C6419">
      <w:pPr>
        <w:jc w:val="center"/>
        <w:rPr>
          <w:b/>
          <w:lang w:val="en-GB"/>
        </w:rPr>
      </w:pPr>
      <w:r w:rsidRPr="0021359E">
        <w:rPr>
          <w:b/>
          <w:lang w:val="en-GB"/>
        </w:rPr>
        <w:t xml:space="preserve">Figure </w:t>
      </w:r>
      <w:r w:rsidR="00A065C8">
        <w:rPr>
          <w:b/>
          <w:lang w:val="en-GB"/>
        </w:rPr>
        <w:t>4</w:t>
      </w:r>
      <w:r w:rsidRPr="0021359E">
        <w:rPr>
          <w:b/>
          <w:lang w:val="en-GB"/>
        </w:rPr>
        <w:t xml:space="preserve">: Test Setup for the </w:t>
      </w:r>
      <w:r w:rsidR="00A61506" w:rsidRPr="0021359E">
        <w:rPr>
          <w:b/>
          <w:lang w:val="en-GB"/>
        </w:rPr>
        <w:t>White</w:t>
      </w:r>
      <w:r w:rsidRPr="0021359E">
        <w:rPr>
          <w:b/>
          <w:lang w:val="en-GB"/>
        </w:rPr>
        <w:t xml:space="preserve"> Box approach. For beams steered towards the left hemisphere, antenna array A2 (red) is active and for beams steered towards the right, antenna array A1 (green) is active. </w:t>
      </w:r>
    </w:p>
    <w:p w14:paraId="0A36C809" w14:textId="5FE4449E" w:rsidR="0021359E" w:rsidRDefault="0021359E" w:rsidP="0021359E">
      <w:pPr>
        <w:jc w:val="both"/>
        <w:rPr>
          <w:lang w:val="en-GB"/>
        </w:rPr>
      </w:pPr>
      <w:r>
        <w:rPr>
          <w:lang w:val="en-GB"/>
        </w:rPr>
        <w:t xml:space="preserve">As this test setup requires the knowledge of the antenna system, UE vendors and/or chipset vendors would be required to provide a declaration about the antenna architecture, e.g., the precise antenna locations and which antenna array is active for each given test point. This in turn complicates the test setup during conformance testing as the UE must be placed so that </w:t>
      </w:r>
      <w:r w:rsidR="008754C1">
        <w:rPr>
          <w:lang w:val="en-GB"/>
        </w:rPr>
        <w:t>the active antenna array is centred at the centre of the quiet zone for each test point</w:t>
      </w:r>
      <w:r>
        <w:rPr>
          <w:lang w:val="en-GB"/>
        </w:rPr>
        <w:t xml:space="preserve">. </w:t>
      </w:r>
      <w:r w:rsidR="002A66F5">
        <w:rPr>
          <w:lang w:val="en-GB"/>
        </w:rPr>
        <w:t>This can be achieved by the test operator re-positioning the device before/after each measurement point which yield</w:t>
      </w:r>
      <w:r w:rsidR="000A4A21">
        <w:rPr>
          <w:lang w:val="en-GB"/>
        </w:rPr>
        <w:t>s</w:t>
      </w:r>
      <w:r w:rsidR="002A66F5">
        <w:rPr>
          <w:lang w:val="en-GB"/>
        </w:rPr>
        <w:t xml:space="preserve"> additional repositioning measurement uncertainties and test times. Alternatively, the test system could be outfitted with additional positioning controls to align the active antenna array to the centre of the quiet zone </w:t>
      </w:r>
      <w:r w:rsidR="00C65DC1">
        <w:rPr>
          <w:lang w:val="en-GB"/>
        </w:rPr>
        <w:t xml:space="preserve">for each test point </w:t>
      </w:r>
      <w:r w:rsidR="002A66F5">
        <w:rPr>
          <w:lang w:val="en-GB"/>
        </w:rPr>
        <w:t xml:space="preserve">which would yield additional </w:t>
      </w:r>
      <w:r w:rsidR="00205F48">
        <w:rPr>
          <w:lang w:val="en-GB"/>
        </w:rPr>
        <w:t>test system and software complexities as well as costs.</w:t>
      </w:r>
    </w:p>
    <w:p w14:paraId="37E464D3" w14:textId="7F3F9FD3" w:rsidR="007C6419" w:rsidRDefault="00205F48" w:rsidP="009D06EA">
      <w:pPr>
        <w:jc w:val="both"/>
        <w:rPr>
          <w:lang w:val="en-GB"/>
        </w:rPr>
      </w:pPr>
      <w:r>
        <w:rPr>
          <w:lang w:val="en-GB"/>
        </w:rPr>
        <w:t xml:space="preserve">On the other hand, the measurement uncertainty related to the offset of the centre of active antenna array from the centre of the quiet zone discussed in the previous section could be minimized as the active antenna array is </w:t>
      </w:r>
      <w:r w:rsidR="00EA77E9">
        <w:rPr>
          <w:lang w:val="en-GB"/>
        </w:rPr>
        <w:t xml:space="preserve">always </w:t>
      </w:r>
      <w:r>
        <w:rPr>
          <w:lang w:val="en-GB"/>
        </w:rPr>
        <w:t>centred at the centre of the quiet zone for each test point.</w:t>
      </w:r>
    </w:p>
    <w:p w14:paraId="7E51D49B" w14:textId="77777777" w:rsidR="00030A7F" w:rsidRPr="00235C87" w:rsidRDefault="00030A7F" w:rsidP="00630BED">
      <w:pPr>
        <w:pStyle w:val="Heading1"/>
        <w:rPr>
          <w:rFonts w:cs="Arial"/>
        </w:rPr>
      </w:pPr>
      <w:bookmarkStart w:id="4" w:name="_Ref473660868"/>
      <w:bookmarkStart w:id="5" w:name="_Ref473660708"/>
      <w:bookmarkStart w:id="6" w:name="OLE_LINK6"/>
      <w:bookmarkStart w:id="7" w:name="OLE_LINK7"/>
      <w:bookmarkEnd w:id="2"/>
      <w:r w:rsidRPr="00235C87">
        <w:rPr>
          <w:rFonts w:cs="Arial"/>
        </w:rPr>
        <w:t>References</w:t>
      </w:r>
    </w:p>
    <w:p w14:paraId="72C10FFD" w14:textId="3904824D" w:rsidR="0055483C" w:rsidRDefault="00030A7F" w:rsidP="0009629B">
      <w:pPr>
        <w:spacing w:after="0" w:line="240" w:lineRule="auto"/>
        <w:ind w:left="432" w:hanging="432"/>
        <w:rPr>
          <w:lang w:val="en-GB"/>
        </w:rPr>
      </w:pPr>
      <w:r w:rsidRPr="00235C87">
        <w:rPr>
          <w:lang w:val="en-GB"/>
        </w:rPr>
        <w:t>[1]</w:t>
      </w:r>
      <w:r w:rsidRPr="00235C87">
        <w:rPr>
          <w:lang w:val="en-GB"/>
        </w:rPr>
        <w:tab/>
      </w:r>
      <w:bookmarkEnd w:id="4"/>
      <w:bookmarkEnd w:id="5"/>
      <w:bookmarkEnd w:id="6"/>
      <w:bookmarkEnd w:id="7"/>
      <w:r w:rsidR="0009629B" w:rsidRPr="0009629B">
        <w:rPr>
          <w:lang w:val="en-GB"/>
        </w:rPr>
        <w:t>3GPP TSG RAN WG4 Meeting NR#2</w:t>
      </w:r>
      <w:r w:rsidR="0009629B">
        <w:rPr>
          <w:lang w:val="en-GB"/>
        </w:rPr>
        <w:t>, R4-1706617 “</w:t>
      </w:r>
      <w:r w:rsidR="0009629B" w:rsidRPr="0009629B">
        <w:rPr>
          <w:lang w:val="en-GB"/>
        </w:rPr>
        <w:t xml:space="preserve">Center of Radiation Reference Point </w:t>
      </w:r>
      <w:r w:rsidR="0009629B">
        <w:rPr>
          <w:lang w:val="en-GB"/>
        </w:rPr>
        <w:t>-</w:t>
      </w:r>
      <w:r w:rsidR="0009629B" w:rsidRPr="0009629B">
        <w:rPr>
          <w:lang w:val="en-GB"/>
        </w:rPr>
        <w:t xml:space="preserve"> Reference Definition for OTA Measurements of Phased Array Beamforming Patterns</w:t>
      </w:r>
      <w:r w:rsidR="0009629B">
        <w:rPr>
          <w:lang w:val="en-GB"/>
        </w:rPr>
        <w:t xml:space="preserve">” </w:t>
      </w:r>
      <w:r w:rsidR="0009629B" w:rsidRPr="0009629B">
        <w:rPr>
          <w:lang w:val="en-GB"/>
        </w:rPr>
        <w:t>Fraunhofer HHI, Keysight Technologies</w:t>
      </w:r>
      <w:r w:rsidR="0009629B">
        <w:rPr>
          <w:lang w:val="en-GB"/>
        </w:rPr>
        <w:t xml:space="preserve">, </w:t>
      </w:r>
      <w:r w:rsidR="00607040">
        <w:rPr>
          <w:lang w:val="en-GB"/>
        </w:rPr>
        <w:t>June</w:t>
      </w:r>
      <w:r w:rsidR="0009629B">
        <w:rPr>
          <w:lang w:val="en-GB"/>
        </w:rPr>
        <w:t xml:space="preserve"> 2017</w:t>
      </w:r>
    </w:p>
    <w:p w14:paraId="56C9BDEC" w14:textId="65FE953B" w:rsidR="0009629B" w:rsidRDefault="0009629B" w:rsidP="0009629B">
      <w:pPr>
        <w:spacing w:after="0" w:line="240" w:lineRule="auto"/>
        <w:ind w:left="432" w:hanging="432"/>
        <w:rPr>
          <w:lang w:val="en-GB"/>
        </w:rPr>
      </w:pPr>
      <w:r>
        <w:rPr>
          <w:lang w:val="en-GB"/>
        </w:rPr>
        <w:t>[2]</w:t>
      </w:r>
      <w:r>
        <w:rPr>
          <w:lang w:val="en-GB"/>
        </w:rPr>
        <w:tab/>
      </w:r>
      <w:r w:rsidRPr="0009629B">
        <w:rPr>
          <w:lang w:val="en-GB"/>
        </w:rPr>
        <w:t>3GPP TSG RAN WG4 Meeting NR#2</w:t>
      </w:r>
      <w:r>
        <w:rPr>
          <w:lang w:val="en-GB"/>
        </w:rPr>
        <w:t>, R4-1706561 “</w:t>
      </w:r>
      <w:r w:rsidRPr="0009629B">
        <w:rPr>
          <w:lang w:val="en-GB"/>
        </w:rPr>
        <w:t>Measurement Uncertainty Contributions for mmWave OTA</w:t>
      </w:r>
      <w:r>
        <w:rPr>
          <w:lang w:val="en-GB"/>
        </w:rPr>
        <w:t xml:space="preserve">”, </w:t>
      </w:r>
      <w:r w:rsidRPr="0009629B">
        <w:rPr>
          <w:lang w:val="en-GB"/>
        </w:rPr>
        <w:t>Anritsu Corporation</w:t>
      </w:r>
      <w:r w:rsidR="00607040">
        <w:rPr>
          <w:lang w:val="en-GB"/>
        </w:rPr>
        <w:t>, June 2017</w:t>
      </w:r>
    </w:p>
    <w:p w14:paraId="6F5C824E" w14:textId="36B0DDB1" w:rsidR="00607040" w:rsidRDefault="00607040" w:rsidP="0009629B">
      <w:pPr>
        <w:spacing w:after="0" w:line="240" w:lineRule="auto"/>
        <w:ind w:left="432" w:hanging="432"/>
        <w:rPr>
          <w:lang w:val="en-GB"/>
        </w:rPr>
      </w:pPr>
      <w:r>
        <w:rPr>
          <w:lang w:val="en-GB"/>
        </w:rPr>
        <w:t>[3]</w:t>
      </w:r>
      <w:r>
        <w:rPr>
          <w:lang w:val="en-GB"/>
        </w:rPr>
        <w:tab/>
      </w:r>
      <w:r w:rsidRPr="0009629B">
        <w:rPr>
          <w:lang w:val="en-GB"/>
        </w:rPr>
        <w:t>3GPP TSG RAN WG4 Meeting NR#2</w:t>
      </w:r>
      <w:r>
        <w:rPr>
          <w:lang w:val="en-GB"/>
        </w:rPr>
        <w:t xml:space="preserve">, </w:t>
      </w:r>
      <w:r w:rsidRPr="00607040">
        <w:rPr>
          <w:lang w:val="en-GB"/>
        </w:rPr>
        <w:t>R4-1706874</w:t>
      </w:r>
      <w:r w:rsidRPr="00607040">
        <w:rPr>
          <w:lang w:val="en-GB"/>
        </w:rPr>
        <w:tab/>
        <w:t>Far</w:t>
      </w:r>
      <w:r>
        <w:rPr>
          <w:lang w:val="en-GB"/>
        </w:rPr>
        <w:t xml:space="preserve"> field distance for RF baseline, </w:t>
      </w:r>
      <w:r w:rsidRPr="00607040">
        <w:rPr>
          <w:lang w:val="en-GB"/>
        </w:rPr>
        <w:t>Keysight Technologies</w:t>
      </w:r>
      <w:r>
        <w:rPr>
          <w:lang w:val="en-GB"/>
        </w:rPr>
        <w:t>, June 2017</w:t>
      </w:r>
    </w:p>
    <w:p w14:paraId="3A359356" w14:textId="129992DE" w:rsidR="00607040" w:rsidRPr="000B309E" w:rsidRDefault="00607040" w:rsidP="0009629B">
      <w:pPr>
        <w:spacing w:after="0" w:line="240" w:lineRule="auto"/>
        <w:ind w:left="432" w:hanging="432"/>
        <w:rPr>
          <w:lang w:val="en-GB"/>
        </w:rPr>
      </w:pPr>
      <w:r>
        <w:rPr>
          <w:lang w:val="en-GB"/>
        </w:rPr>
        <w:t>[4]</w:t>
      </w:r>
      <w:r>
        <w:rPr>
          <w:lang w:val="en-GB"/>
        </w:rPr>
        <w:tab/>
      </w:r>
      <w:r w:rsidR="005A1960" w:rsidRPr="0009629B">
        <w:rPr>
          <w:lang w:val="en-GB"/>
        </w:rPr>
        <w:t>3GPP TSG RAN WG4 Meeting NR#2</w:t>
      </w:r>
      <w:r w:rsidR="005A1960">
        <w:rPr>
          <w:lang w:val="en-GB"/>
        </w:rPr>
        <w:t xml:space="preserve">, </w:t>
      </w:r>
      <w:r w:rsidR="005A1960" w:rsidRPr="005A1960">
        <w:rPr>
          <w:lang w:val="en-GB"/>
        </w:rPr>
        <w:t>R4-1706848</w:t>
      </w:r>
      <w:r w:rsidR="005A1960">
        <w:rPr>
          <w:lang w:val="en-GB"/>
        </w:rPr>
        <w:t xml:space="preserve">, </w:t>
      </w:r>
      <w:r w:rsidR="005A1960" w:rsidRPr="005A1960">
        <w:rPr>
          <w:lang w:val="en-GB"/>
        </w:rPr>
        <w:t>WF on NR MU and test tolerance</w:t>
      </w:r>
      <w:r w:rsidR="005A1960">
        <w:rPr>
          <w:lang w:val="en-GB"/>
        </w:rPr>
        <w:t xml:space="preserve">, </w:t>
      </w:r>
      <w:r w:rsidR="005A1960" w:rsidRPr="005A1960">
        <w:rPr>
          <w:lang w:val="en-GB"/>
        </w:rPr>
        <w:t>CATR, Intel Corporation, Rohde &amp; Schwarz, MVG Industries, Anritsu, Keysight Technologies, Fraunhofer HHI</w:t>
      </w:r>
      <w:r w:rsidR="005A1960">
        <w:rPr>
          <w:lang w:val="en-GB"/>
        </w:rPr>
        <w:t>, June 2017</w:t>
      </w:r>
    </w:p>
    <w:sectPr w:rsidR="00607040" w:rsidRPr="000B309E" w:rsidSect="003838EA">
      <w:footerReference w:type="defaul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8206F" w14:textId="77777777" w:rsidR="00213153" w:rsidRDefault="00213153" w:rsidP="00371D7D">
      <w:r>
        <w:separator/>
      </w:r>
    </w:p>
  </w:endnote>
  <w:endnote w:type="continuationSeparator" w:id="0">
    <w:p w14:paraId="43ED8C59" w14:textId="77777777" w:rsidR="00213153" w:rsidRDefault="0021315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0F366" w14:textId="5C9BB687" w:rsidR="005C07C7" w:rsidRPr="000E7B1E" w:rsidRDefault="005C07C7"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75784B">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9425D" w14:textId="77777777" w:rsidR="00213153" w:rsidRDefault="00213153" w:rsidP="00371D7D">
      <w:r>
        <w:separator/>
      </w:r>
    </w:p>
  </w:footnote>
  <w:footnote w:type="continuationSeparator" w:id="0">
    <w:p w14:paraId="6866583F" w14:textId="77777777" w:rsidR="00213153" w:rsidRDefault="00213153"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4"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5"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0"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0"/>
  </w:num>
  <w:num w:numId="3">
    <w:abstractNumId w:val="15"/>
  </w:num>
  <w:num w:numId="4">
    <w:abstractNumId w:val="25"/>
  </w:num>
  <w:num w:numId="5">
    <w:abstractNumId w:val="15"/>
  </w:num>
  <w:num w:numId="6">
    <w:abstractNumId w:val="15"/>
  </w:num>
  <w:num w:numId="7">
    <w:abstractNumId w:val="15"/>
  </w:num>
  <w:num w:numId="8">
    <w:abstractNumId w:val="15"/>
  </w:num>
  <w:num w:numId="9">
    <w:abstractNumId w:val="14"/>
  </w:num>
  <w:num w:numId="10">
    <w:abstractNumId w:val="16"/>
  </w:num>
  <w:num w:numId="11">
    <w:abstractNumId w:val="13"/>
  </w:num>
  <w:num w:numId="12">
    <w:abstractNumId w:val="12"/>
  </w:num>
  <w:num w:numId="13">
    <w:abstractNumId w:val="27"/>
  </w:num>
  <w:num w:numId="14">
    <w:abstractNumId w:val="15"/>
  </w:num>
  <w:num w:numId="15">
    <w:abstractNumId w:val="21"/>
  </w:num>
  <w:num w:numId="16">
    <w:abstractNumId w:val="9"/>
  </w:num>
  <w:num w:numId="17">
    <w:abstractNumId w:val="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6"/>
  </w:num>
  <w:num w:numId="23">
    <w:abstractNumId w:val="15"/>
  </w:num>
  <w:num w:numId="24">
    <w:abstractNumId w:val="7"/>
  </w:num>
  <w:num w:numId="25">
    <w:abstractNumId w:val="8"/>
  </w:num>
  <w:num w:numId="26">
    <w:abstractNumId w:val="15"/>
  </w:num>
  <w:num w:numId="27">
    <w:abstractNumId w:val="17"/>
  </w:num>
  <w:num w:numId="28">
    <w:abstractNumId w:val="2"/>
  </w:num>
  <w:num w:numId="29">
    <w:abstractNumId w:val="20"/>
  </w:num>
  <w:num w:numId="30">
    <w:abstractNumId w:val="24"/>
  </w:num>
  <w:num w:numId="31">
    <w:abstractNumId w:val="23"/>
  </w:num>
  <w:num w:numId="32">
    <w:abstractNumId w:val="5"/>
  </w:num>
  <w:num w:numId="33">
    <w:abstractNumId w:val="29"/>
  </w:num>
  <w:num w:numId="34">
    <w:abstractNumId w:val="1"/>
  </w:num>
  <w:num w:numId="35">
    <w:abstractNumId w:val="11"/>
  </w:num>
  <w:num w:numId="36">
    <w:abstractNumId w:val="22"/>
  </w:num>
  <w:num w:numId="37">
    <w:abstractNumId w:val="19"/>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11DA7"/>
    <w:rsid w:val="00011DE0"/>
    <w:rsid w:val="00013807"/>
    <w:rsid w:val="000143A3"/>
    <w:rsid w:val="00014639"/>
    <w:rsid w:val="000200E1"/>
    <w:rsid w:val="00020F4A"/>
    <w:rsid w:val="00021A1A"/>
    <w:rsid w:val="0002461A"/>
    <w:rsid w:val="00025D21"/>
    <w:rsid w:val="000304B0"/>
    <w:rsid w:val="00030A7F"/>
    <w:rsid w:val="00030EFF"/>
    <w:rsid w:val="00036082"/>
    <w:rsid w:val="000402B6"/>
    <w:rsid w:val="00041F6A"/>
    <w:rsid w:val="00044187"/>
    <w:rsid w:val="0004547C"/>
    <w:rsid w:val="00047428"/>
    <w:rsid w:val="00047E75"/>
    <w:rsid w:val="0006221F"/>
    <w:rsid w:val="000652BE"/>
    <w:rsid w:val="0006555A"/>
    <w:rsid w:val="00075135"/>
    <w:rsid w:val="000762B7"/>
    <w:rsid w:val="000814E4"/>
    <w:rsid w:val="00081C35"/>
    <w:rsid w:val="000828B5"/>
    <w:rsid w:val="00082A5B"/>
    <w:rsid w:val="00092C97"/>
    <w:rsid w:val="0009629B"/>
    <w:rsid w:val="000A0514"/>
    <w:rsid w:val="000A262C"/>
    <w:rsid w:val="000A2FB0"/>
    <w:rsid w:val="000A3642"/>
    <w:rsid w:val="000A4A21"/>
    <w:rsid w:val="000A6628"/>
    <w:rsid w:val="000B0F54"/>
    <w:rsid w:val="000B309E"/>
    <w:rsid w:val="000B3739"/>
    <w:rsid w:val="000B663A"/>
    <w:rsid w:val="000B7FC7"/>
    <w:rsid w:val="000C194F"/>
    <w:rsid w:val="000C2BDD"/>
    <w:rsid w:val="000C7078"/>
    <w:rsid w:val="000C7318"/>
    <w:rsid w:val="000C7565"/>
    <w:rsid w:val="000D0908"/>
    <w:rsid w:val="000D0E8E"/>
    <w:rsid w:val="000D0EAF"/>
    <w:rsid w:val="000D68AB"/>
    <w:rsid w:val="000D79F1"/>
    <w:rsid w:val="000E00AB"/>
    <w:rsid w:val="000E75B0"/>
    <w:rsid w:val="000E7B1E"/>
    <w:rsid w:val="00100D39"/>
    <w:rsid w:val="0010446A"/>
    <w:rsid w:val="0010792C"/>
    <w:rsid w:val="00110B13"/>
    <w:rsid w:val="001114C1"/>
    <w:rsid w:val="00112164"/>
    <w:rsid w:val="001137DA"/>
    <w:rsid w:val="0011436A"/>
    <w:rsid w:val="001147B0"/>
    <w:rsid w:val="00114995"/>
    <w:rsid w:val="00114A84"/>
    <w:rsid w:val="00116DFF"/>
    <w:rsid w:val="00117F9C"/>
    <w:rsid w:val="00126CE6"/>
    <w:rsid w:val="001339FF"/>
    <w:rsid w:val="001378A7"/>
    <w:rsid w:val="0015068F"/>
    <w:rsid w:val="001524C1"/>
    <w:rsid w:val="001530C0"/>
    <w:rsid w:val="00153604"/>
    <w:rsid w:val="001553DE"/>
    <w:rsid w:val="0015692F"/>
    <w:rsid w:val="001633DC"/>
    <w:rsid w:val="0016379A"/>
    <w:rsid w:val="00164040"/>
    <w:rsid w:val="00167CAD"/>
    <w:rsid w:val="00167FB4"/>
    <w:rsid w:val="0017275D"/>
    <w:rsid w:val="00172D17"/>
    <w:rsid w:val="00174ED5"/>
    <w:rsid w:val="00176658"/>
    <w:rsid w:val="00176791"/>
    <w:rsid w:val="00180494"/>
    <w:rsid w:val="001810A2"/>
    <w:rsid w:val="001852B0"/>
    <w:rsid w:val="00193A32"/>
    <w:rsid w:val="00196D2A"/>
    <w:rsid w:val="001A042A"/>
    <w:rsid w:val="001A08C6"/>
    <w:rsid w:val="001A2E0D"/>
    <w:rsid w:val="001B0742"/>
    <w:rsid w:val="001B2191"/>
    <w:rsid w:val="001C0EA6"/>
    <w:rsid w:val="001C1D01"/>
    <w:rsid w:val="001C4E17"/>
    <w:rsid w:val="001C6A9C"/>
    <w:rsid w:val="001D1D1A"/>
    <w:rsid w:val="001D27CE"/>
    <w:rsid w:val="001D44CF"/>
    <w:rsid w:val="001D5A32"/>
    <w:rsid w:val="001D64B5"/>
    <w:rsid w:val="001E0A0B"/>
    <w:rsid w:val="001E190C"/>
    <w:rsid w:val="001E540B"/>
    <w:rsid w:val="001E5776"/>
    <w:rsid w:val="001E73BE"/>
    <w:rsid w:val="001E7B76"/>
    <w:rsid w:val="001F0673"/>
    <w:rsid w:val="001F4112"/>
    <w:rsid w:val="001F5452"/>
    <w:rsid w:val="001F6CC0"/>
    <w:rsid w:val="00205F48"/>
    <w:rsid w:val="00206F1C"/>
    <w:rsid w:val="002101B8"/>
    <w:rsid w:val="00210BB9"/>
    <w:rsid w:val="002119D0"/>
    <w:rsid w:val="00211B0D"/>
    <w:rsid w:val="00213153"/>
    <w:rsid w:val="0021359E"/>
    <w:rsid w:val="00216986"/>
    <w:rsid w:val="00220316"/>
    <w:rsid w:val="0022150D"/>
    <w:rsid w:val="002225C4"/>
    <w:rsid w:val="00224203"/>
    <w:rsid w:val="002265E1"/>
    <w:rsid w:val="00226E95"/>
    <w:rsid w:val="0023375F"/>
    <w:rsid w:val="00234DAE"/>
    <w:rsid w:val="00235C87"/>
    <w:rsid w:val="00237EE7"/>
    <w:rsid w:val="00240D2A"/>
    <w:rsid w:val="002415D9"/>
    <w:rsid w:val="00242A1D"/>
    <w:rsid w:val="0024490F"/>
    <w:rsid w:val="0024790C"/>
    <w:rsid w:val="002507E9"/>
    <w:rsid w:val="0025085A"/>
    <w:rsid w:val="00251FDB"/>
    <w:rsid w:val="00252AE0"/>
    <w:rsid w:val="002548E2"/>
    <w:rsid w:val="00255A8A"/>
    <w:rsid w:val="0026652B"/>
    <w:rsid w:val="002674A8"/>
    <w:rsid w:val="002700B4"/>
    <w:rsid w:val="002759B6"/>
    <w:rsid w:val="00276F00"/>
    <w:rsid w:val="00282191"/>
    <w:rsid w:val="00284170"/>
    <w:rsid w:val="00286031"/>
    <w:rsid w:val="00287444"/>
    <w:rsid w:val="00290859"/>
    <w:rsid w:val="00293F18"/>
    <w:rsid w:val="002947A5"/>
    <w:rsid w:val="002965D4"/>
    <w:rsid w:val="00296747"/>
    <w:rsid w:val="002971B6"/>
    <w:rsid w:val="00297831"/>
    <w:rsid w:val="002A02DF"/>
    <w:rsid w:val="002A134F"/>
    <w:rsid w:val="002A2AB2"/>
    <w:rsid w:val="002A659B"/>
    <w:rsid w:val="002A66F5"/>
    <w:rsid w:val="002B111A"/>
    <w:rsid w:val="002B3C4B"/>
    <w:rsid w:val="002B5708"/>
    <w:rsid w:val="002B5F65"/>
    <w:rsid w:val="002B7900"/>
    <w:rsid w:val="002C3A4F"/>
    <w:rsid w:val="002C48E9"/>
    <w:rsid w:val="002C75A4"/>
    <w:rsid w:val="002D394E"/>
    <w:rsid w:val="002D453F"/>
    <w:rsid w:val="002D5691"/>
    <w:rsid w:val="002E0D1B"/>
    <w:rsid w:val="002E1075"/>
    <w:rsid w:val="002E3CF0"/>
    <w:rsid w:val="002E434E"/>
    <w:rsid w:val="002E74E5"/>
    <w:rsid w:val="002F1A84"/>
    <w:rsid w:val="002F26C4"/>
    <w:rsid w:val="002F6CC0"/>
    <w:rsid w:val="00305C89"/>
    <w:rsid w:val="00305D94"/>
    <w:rsid w:val="00306245"/>
    <w:rsid w:val="003112E8"/>
    <w:rsid w:val="0031299F"/>
    <w:rsid w:val="00315F9F"/>
    <w:rsid w:val="00316376"/>
    <w:rsid w:val="003200D8"/>
    <w:rsid w:val="0032672D"/>
    <w:rsid w:val="003300C3"/>
    <w:rsid w:val="003321C2"/>
    <w:rsid w:val="00332D69"/>
    <w:rsid w:val="003344C4"/>
    <w:rsid w:val="00334F04"/>
    <w:rsid w:val="003434B3"/>
    <w:rsid w:val="00344B2B"/>
    <w:rsid w:val="0036038D"/>
    <w:rsid w:val="003607C5"/>
    <w:rsid w:val="003608E0"/>
    <w:rsid w:val="003660C7"/>
    <w:rsid w:val="003664A2"/>
    <w:rsid w:val="00367E6D"/>
    <w:rsid w:val="00371D7D"/>
    <w:rsid w:val="003722DF"/>
    <w:rsid w:val="00372474"/>
    <w:rsid w:val="003728C6"/>
    <w:rsid w:val="00372DAC"/>
    <w:rsid w:val="003812CA"/>
    <w:rsid w:val="003838EA"/>
    <w:rsid w:val="00384B70"/>
    <w:rsid w:val="0038590F"/>
    <w:rsid w:val="003A16D1"/>
    <w:rsid w:val="003A1D27"/>
    <w:rsid w:val="003A575F"/>
    <w:rsid w:val="003A7774"/>
    <w:rsid w:val="003B0EF9"/>
    <w:rsid w:val="003B1E3D"/>
    <w:rsid w:val="003B5223"/>
    <w:rsid w:val="003B6518"/>
    <w:rsid w:val="003B7288"/>
    <w:rsid w:val="003C1CA1"/>
    <w:rsid w:val="003C388A"/>
    <w:rsid w:val="003C4DDA"/>
    <w:rsid w:val="003C5B3F"/>
    <w:rsid w:val="003D0E5C"/>
    <w:rsid w:val="003D51E6"/>
    <w:rsid w:val="003D602B"/>
    <w:rsid w:val="003D7784"/>
    <w:rsid w:val="003D7B2C"/>
    <w:rsid w:val="003E12B0"/>
    <w:rsid w:val="003E2565"/>
    <w:rsid w:val="003E5779"/>
    <w:rsid w:val="003F0E6E"/>
    <w:rsid w:val="003F1A78"/>
    <w:rsid w:val="003F75B9"/>
    <w:rsid w:val="004033E9"/>
    <w:rsid w:val="004137F2"/>
    <w:rsid w:val="004149E9"/>
    <w:rsid w:val="00420D58"/>
    <w:rsid w:val="00423201"/>
    <w:rsid w:val="0043036D"/>
    <w:rsid w:val="004324FB"/>
    <w:rsid w:val="004325A5"/>
    <w:rsid w:val="004339E0"/>
    <w:rsid w:val="004340EB"/>
    <w:rsid w:val="00434839"/>
    <w:rsid w:val="004372AD"/>
    <w:rsid w:val="00442027"/>
    <w:rsid w:val="00443204"/>
    <w:rsid w:val="00445FD4"/>
    <w:rsid w:val="00451093"/>
    <w:rsid w:val="00455988"/>
    <w:rsid w:val="00460804"/>
    <w:rsid w:val="004614C5"/>
    <w:rsid w:val="0046181B"/>
    <w:rsid w:val="0046280F"/>
    <w:rsid w:val="004641CE"/>
    <w:rsid w:val="00465DA7"/>
    <w:rsid w:val="0046755F"/>
    <w:rsid w:val="00470182"/>
    <w:rsid w:val="00474149"/>
    <w:rsid w:val="00475793"/>
    <w:rsid w:val="00477362"/>
    <w:rsid w:val="00481B3C"/>
    <w:rsid w:val="004858E1"/>
    <w:rsid w:val="0048673D"/>
    <w:rsid w:val="00487FC3"/>
    <w:rsid w:val="00492977"/>
    <w:rsid w:val="0049310F"/>
    <w:rsid w:val="0049394D"/>
    <w:rsid w:val="00493E67"/>
    <w:rsid w:val="00493FA6"/>
    <w:rsid w:val="004A04A5"/>
    <w:rsid w:val="004A2F58"/>
    <w:rsid w:val="004A3D93"/>
    <w:rsid w:val="004A5815"/>
    <w:rsid w:val="004A60F7"/>
    <w:rsid w:val="004A79DF"/>
    <w:rsid w:val="004B0EE9"/>
    <w:rsid w:val="004C0EA3"/>
    <w:rsid w:val="004C6EB0"/>
    <w:rsid w:val="004D2DCF"/>
    <w:rsid w:val="004D74F3"/>
    <w:rsid w:val="004E1AB0"/>
    <w:rsid w:val="004E2925"/>
    <w:rsid w:val="004E2ACB"/>
    <w:rsid w:val="004E3BCC"/>
    <w:rsid w:val="004E4907"/>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AA4"/>
    <w:rsid w:val="00542862"/>
    <w:rsid w:val="005466D7"/>
    <w:rsid w:val="00551E7D"/>
    <w:rsid w:val="00552E60"/>
    <w:rsid w:val="005535D7"/>
    <w:rsid w:val="0055483C"/>
    <w:rsid w:val="00557539"/>
    <w:rsid w:val="00564786"/>
    <w:rsid w:val="00565E03"/>
    <w:rsid w:val="00566B4A"/>
    <w:rsid w:val="00570805"/>
    <w:rsid w:val="00571AAB"/>
    <w:rsid w:val="00583905"/>
    <w:rsid w:val="00586465"/>
    <w:rsid w:val="00587E96"/>
    <w:rsid w:val="00594B54"/>
    <w:rsid w:val="005A04AB"/>
    <w:rsid w:val="005A1960"/>
    <w:rsid w:val="005C07C7"/>
    <w:rsid w:val="005C1279"/>
    <w:rsid w:val="005C517E"/>
    <w:rsid w:val="005C5210"/>
    <w:rsid w:val="005D21DE"/>
    <w:rsid w:val="005D278E"/>
    <w:rsid w:val="005D37FD"/>
    <w:rsid w:val="005D3C2A"/>
    <w:rsid w:val="005D4744"/>
    <w:rsid w:val="005D4B7F"/>
    <w:rsid w:val="005D5F80"/>
    <w:rsid w:val="005E5410"/>
    <w:rsid w:val="005E59B9"/>
    <w:rsid w:val="005F054B"/>
    <w:rsid w:val="005F1B0E"/>
    <w:rsid w:val="005F2CC8"/>
    <w:rsid w:val="005F2E71"/>
    <w:rsid w:val="005F2EDB"/>
    <w:rsid w:val="0060326E"/>
    <w:rsid w:val="00607040"/>
    <w:rsid w:val="00607A72"/>
    <w:rsid w:val="0061069A"/>
    <w:rsid w:val="00611A7F"/>
    <w:rsid w:val="00612270"/>
    <w:rsid w:val="00617172"/>
    <w:rsid w:val="00617926"/>
    <w:rsid w:val="00621319"/>
    <w:rsid w:val="0062570B"/>
    <w:rsid w:val="00625BE9"/>
    <w:rsid w:val="00626288"/>
    <w:rsid w:val="00627053"/>
    <w:rsid w:val="00630334"/>
    <w:rsid w:val="00630BED"/>
    <w:rsid w:val="0063332F"/>
    <w:rsid w:val="0063395B"/>
    <w:rsid w:val="00635940"/>
    <w:rsid w:val="006366AD"/>
    <w:rsid w:val="00640E01"/>
    <w:rsid w:val="00641EC6"/>
    <w:rsid w:val="00645237"/>
    <w:rsid w:val="006466C9"/>
    <w:rsid w:val="00654178"/>
    <w:rsid w:val="0065679C"/>
    <w:rsid w:val="00656A01"/>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5DB3"/>
    <w:rsid w:val="006A6F49"/>
    <w:rsid w:val="006A7586"/>
    <w:rsid w:val="006A7894"/>
    <w:rsid w:val="006B4067"/>
    <w:rsid w:val="006B508B"/>
    <w:rsid w:val="006B7575"/>
    <w:rsid w:val="006C049B"/>
    <w:rsid w:val="006C1445"/>
    <w:rsid w:val="006C4E24"/>
    <w:rsid w:val="006C60BB"/>
    <w:rsid w:val="006C6ACE"/>
    <w:rsid w:val="006C74FF"/>
    <w:rsid w:val="006D3FD0"/>
    <w:rsid w:val="006E1A7C"/>
    <w:rsid w:val="006E1D64"/>
    <w:rsid w:val="006E4F64"/>
    <w:rsid w:val="006E5BCE"/>
    <w:rsid w:val="006E6577"/>
    <w:rsid w:val="006E7C54"/>
    <w:rsid w:val="006F1D3A"/>
    <w:rsid w:val="006F2C16"/>
    <w:rsid w:val="006F4D66"/>
    <w:rsid w:val="006F563A"/>
    <w:rsid w:val="006F7322"/>
    <w:rsid w:val="006F7C37"/>
    <w:rsid w:val="0070104D"/>
    <w:rsid w:val="00706CB9"/>
    <w:rsid w:val="00707FFC"/>
    <w:rsid w:val="00712BF6"/>
    <w:rsid w:val="007138CB"/>
    <w:rsid w:val="007174F8"/>
    <w:rsid w:val="00720003"/>
    <w:rsid w:val="00720FB7"/>
    <w:rsid w:val="007246E4"/>
    <w:rsid w:val="00731B27"/>
    <w:rsid w:val="00733D87"/>
    <w:rsid w:val="00735D1F"/>
    <w:rsid w:val="00744D61"/>
    <w:rsid w:val="00746B62"/>
    <w:rsid w:val="007477D2"/>
    <w:rsid w:val="00747FFE"/>
    <w:rsid w:val="007505B5"/>
    <w:rsid w:val="007510C4"/>
    <w:rsid w:val="00757245"/>
    <w:rsid w:val="0075784B"/>
    <w:rsid w:val="00761AED"/>
    <w:rsid w:val="007628F1"/>
    <w:rsid w:val="00765F55"/>
    <w:rsid w:val="007706D0"/>
    <w:rsid w:val="00773BDA"/>
    <w:rsid w:val="00773C96"/>
    <w:rsid w:val="00773DCA"/>
    <w:rsid w:val="00776D6B"/>
    <w:rsid w:val="007842C7"/>
    <w:rsid w:val="007927C1"/>
    <w:rsid w:val="00793EA4"/>
    <w:rsid w:val="007944C3"/>
    <w:rsid w:val="00797969"/>
    <w:rsid w:val="007A16E6"/>
    <w:rsid w:val="007A422E"/>
    <w:rsid w:val="007A63CD"/>
    <w:rsid w:val="007A7270"/>
    <w:rsid w:val="007B0569"/>
    <w:rsid w:val="007B36E6"/>
    <w:rsid w:val="007B6733"/>
    <w:rsid w:val="007B6ADB"/>
    <w:rsid w:val="007C0E2A"/>
    <w:rsid w:val="007C221F"/>
    <w:rsid w:val="007C3B8F"/>
    <w:rsid w:val="007C6419"/>
    <w:rsid w:val="007C6CC6"/>
    <w:rsid w:val="007C7160"/>
    <w:rsid w:val="007C7AEC"/>
    <w:rsid w:val="007D15F5"/>
    <w:rsid w:val="007D35D4"/>
    <w:rsid w:val="007D4BD9"/>
    <w:rsid w:val="007D632A"/>
    <w:rsid w:val="007E144D"/>
    <w:rsid w:val="007E1A21"/>
    <w:rsid w:val="007E1BFB"/>
    <w:rsid w:val="007E47C9"/>
    <w:rsid w:val="007E542F"/>
    <w:rsid w:val="007E74D3"/>
    <w:rsid w:val="007E75B3"/>
    <w:rsid w:val="007F2913"/>
    <w:rsid w:val="007F63B8"/>
    <w:rsid w:val="00802A02"/>
    <w:rsid w:val="00802F82"/>
    <w:rsid w:val="00803ADC"/>
    <w:rsid w:val="00803D35"/>
    <w:rsid w:val="008064E5"/>
    <w:rsid w:val="00811A7C"/>
    <w:rsid w:val="00814716"/>
    <w:rsid w:val="00815718"/>
    <w:rsid w:val="008159B1"/>
    <w:rsid w:val="008211B6"/>
    <w:rsid w:val="008222DF"/>
    <w:rsid w:val="00825E45"/>
    <w:rsid w:val="008266CA"/>
    <w:rsid w:val="00831E58"/>
    <w:rsid w:val="0083554F"/>
    <w:rsid w:val="00836315"/>
    <w:rsid w:val="00837DB8"/>
    <w:rsid w:val="008428A3"/>
    <w:rsid w:val="00844428"/>
    <w:rsid w:val="00846CBA"/>
    <w:rsid w:val="00861EA4"/>
    <w:rsid w:val="00862AFA"/>
    <w:rsid w:val="00863700"/>
    <w:rsid w:val="0086567A"/>
    <w:rsid w:val="00865D16"/>
    <w:rsid w:val="00867C2A"/>
    <w:rsid w:val="00870546"/>
    <w:rsid w:val="00870C53"/>
    <w:rsid w:val="00871F58"/>
    <w:rsid w:val="00872FCD"/>
    <w:rsid w:val="008731C9"/>
    <w:rsid w:val="00875139"/>
    <w:rsid w:val="008754C1"/>
    <w:rsid w:val="0087559E"/>
    <w:rsid w:val="00875D1D"/>
    <w:rsid w:val="00882F18"/>
    <w:rsid w:val="008919FA"/>
    <w:rsid w:val="00894205"/>
    <w:rsid w:val="008948CA"/>
    <w:rsid w:val="008966F6"/>
    <w:rsid w:val="008A4F4D"/>
    <w:rsid w:val="008A5259"/>
    <w:rsid w:val="008B3E44"/>
    <w:rsid w:val="008B4257"/>
    <w:rsid w:val="008B7827"/>
    <w:rsid w:val="008C291E"/>
    <w:rsid w:val="008C77C6"/>
    <w:rsid w:val="008D0A86"/>
    <w:rsid w:val="008D19B8"/>
    <w:rsid w:val="008D6EF1"/>
    <w:rsid w:val="008D797C"/>
    <w:rsid w:val="008D7BA0"/>
    <w:rsid w:val="008E0FC4"/>
    <w:rsid w:val="008E1A2B"/>
    <w:rsid w:val="008E5CC2"/>
    <w:rsid w:val="008E790D"/>
    <w:rsid w:val="008F28BE"/>
    <w:rsid w:val="008F3E4A"/>
    <w:rsid w:val="008F4F09"/>
    <w:rsid w:val="008F5836"/>
    <w:rsid w:val="008F6239"/>
    <w:rsid w:val="008F6BB4"/>
    <w:rsid w:val="00914141"/>
    <w:rsid w:val="00915F2E"/>
    <w:rsid w:val="00916784"/>
    <w:rsid w:val="00916934"/>
    <w:rsid w:val="00922336"/>
    <w:rsid w:val="009247D4"/>
    <w:rsid w:val="00924927"/>
    <w:rsid w:val="00930456"/>
    <w:rsid w:val="00931A88"/>
    <w:rsid w:val="00933A16"/>
    <w:rsid w:val="00933C7C"/>
    <w:rsid w:val="00933F3F"/>
    <w:rsid w:val="00935C3D"/>
    <w:rsid w:val="00937DE4"/>
    <w:rsid w:val="009420AE"/>
    <w:rsid w:val="00942148"/>
    <w:rsid w:val="00943082"/>
    <w:rsid w:val="00944D07"/>
    <w:rsid w:val="00944E1A"/>
    <w:rsid w:val="00946BBC"/>
    <w:rsid w:val="00950962"/>
    <w:rsid w:val="00952B8A"/>
    <w:rsid w:val="0095468A"/>
    <w:rsid w:val="0095562A"/>
    <w:rsid w:val="00962E59"/>
    <w:rsid w:val="00965D58"/>
    <w:rsid w:val="00966E9B"/>
    <w:rsid w:val="009705CD"/>
    <w:rsid w:val="00970641"/>
    <w:rsid w:val="009750F0"/>
    <w:rsid w:val="0097543A"/>
    <w:rsid w:val="00975F20"/>
    <w:rsid w:val="00976B03"/>
    <w:rsid w:val="00984C8B"/>
    <w:rsid w:val="00985744"/>
    <w:rsid w:val="009863CE"/>
    <w:rsid w:val="00987C1F"/>
    <w:rsid w:val="009926B6"/>
    <w:rsid w:val="0099496E"/>
    <w:rsid w:val="009A1270"/>
    <w:rsid w:val="009B1044"/>
    <w:rsid w:val="009B209B"/>
    <w:rsid w:val="009B5CF9"/>
    <w:rsid w:val="009C0CB9"/>
    <w:rsid w:val="009C33F0"/>
    <w:rsid w:val="009C51E1"/>
    <w:rsid w:val="009C536C"/>
    <w:rsid w:val="009C5C15"/>
    <w:rsid w:val="009C6FFB"/>
    <w:rsid w:val="009D06EA"/>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31B9"/>
    <w:rsid w:val="009F71B3"/>
    <w:rsid w:val="00A01054"/>
    <w:rsid w:val="00A02E39"/>
    <w:rsid w:val="00A04558"/>
    <w:rsid w:val="00A04F9C"/>
    <w:rsid w:val="00A065C8"/>
    <w:rsid w:val="00A0759F"/>
    <w:rsid w:val="00A12081"/>
    <w:rsid w:val="00A130E4"/>
    <w:rsid w:val="00A14EBC"/>
    <w:rsid w:val="00A15983"/>
    <w:rsid w:val="00A20C0A"/>
    <w:rsid w:val="00A223EA"/>
    <w:rsid w:val="00A24150"/>
    <w:rsid w:val="00A32070"/>
    <w:rsid w:val="00A33D3A"/>
    <w:rsid w:val="00A353DC"/>
    <w:rsid w:val="00A40BA0"/>
    <w:rsid w:val="00A42596"/>
    <w:rsid w:val="00A44C02"/>
    <w:rsid w:val="00A4537F"/>
    <w:rsid w:val="00A55AF2"/>
    <w:rsid w:val="00A57C7C"/>
    <w:rsid w:val="00A57D0D"/>
    <w:rsid w:val="00A61506"/>
    <w:rsid w:val="00A62362"/>
    <w:rsid w:val="00A63A28"/>
    <w:rsid w:val="00A64C86"/>
    <w:rsid w:val="00A67985"/>
    <w:rsid w:val="00A6798F"/>
    <w:rsid w:val="00A7325E"/>
    <w:rsid w:val="00A76DBE"/>
    <w:rsid w:val="00A777EC"/>
    <w:rsid w:val="00A8311E"/>
    <w:rsid w:val="00A95090"/>
    <w:rsid w:val="00A9514D"/>
    <w:rsid w:val="00A96690"/>
    <w:rsid w:val="00A97BF8"/>
    <w:rsid w:val="00AA04CC"/>
    <w:rsid w:val="00AA0D07"/>
    <w:rsid w:val="00AA0F9B"/>
    <w:rsid w:val="00AA38B6"/>
    <w:rsid w:val="00AA3AF8"/>
    <w:rsid w:val="00AA7167"/>
    <w:rsid w:val="00AB0D1B"/>
    <w:rsid w:val="00AB16E7"/>
    <w:rsid w:val="00AB263D"/>
    <w:rsid w:val="00AB2BBC"/>
    <w:rsid w:val="00AB4ACC"/>
    <w:rsid w:val="00AB537D"/>
    <w:rsid w:val="00AB7EB0"/>
    <w:rsid w:val="00AC4279"/>
    <w:rsid w:val="00AC51D3"/>
    <w:rsid w:val="00AC78CA"/>
    <w:rsid w:val="00AD1373"/>
    <w:rsid w:val="00AD2B85"/>
    <w:rsid w:val="00AE18A0"/>
    <w:rsid w:val="00AE376A"/>
    <w:rsid w:val="00AF1947"/>
    <w:rsid w:val="00AF2A71"/>
    <w:rsid w:val="00AF60AE"/>
    <w:rsid w:val="00B050D3"/>
    <w:rsid w:val="00B05ACB"/>
    <w:rsid w:val="00B05B25"/>
    <w:rsid w:val="00B07AEF"/>
    <w:rsid w:val="00B11E41"/>
    <w:rsid w:val="00B13078"/>
    <w:rsid w:val="00B130F2"/>
    <w:rsid w:val="00B1503D"/>
    <w:rsid w:val="00B1538B"/>
    <w:rsid w:val="00B1788D"/>
    <w:rsid w:val="00B206F3"/>
    <w:rsid w:val="00B20B88"/>
    <w:rsid w:val="00B2126A"/>
    <w:rsid w:val="00B240D0"/>
    <w:rsid w:val="00B277E9"/>
    <w:rsid w:val="00B30F45"/>
    <w:rsid w:val="00B31F06"/>
    <w:rsid w:val="00B337D5"/>
    <w:rsid w:val="00B33931"/>
    <w:rsid w:val="00B35629"/>
    <w:rsid w:val="00B35707"/>
    <w:rsid w:val="00B413A7"/>
    <w:rsid w:val="00B42131"/>
    <w:rsid w:val="00B50A51"/>
    <w:rsid w:val="00B548F0"/>
    <w:rsid w:val="00B566F1"/>
    <w:rsid w:val="00B57FE5"/>
    <w:rsid w:val="00B60110"/>
    <w:rsid w:val="00B61206"/>
    <w:rsid w:val="00B618F7"/>
    <w:rsid w:val="00B65E1E"/>
    <w:rsid w:val="00B67FA8"/>
    <w:rsid w:val="00B73093"/>
    <w:rsid w:val="00B75570"/>
    <w:rsid w:val="00B757DF"/>
    <w:rsid w:val="00B77425"/>
    <w:rsid w:val="00B8042F"/>
    <w:rsid w:val="00B80FDD"/>
    <w:rsid w:val="00B81E4C"/>
    <w:rsid w:val="00B81FC7"/>
    <w:rsid w:val="00B82514"/>
    <w:rsid w:val="00B8385A"/>
    <w:rsid w:val="00B838DA"/>
    <w:rsid w:val="00B92991"/>
    <w:rsid w:val="00B92F4B"/>
    <w:rsid w:val="00B96064"/>
    <w:rsid w:val="00B9692F"/>
    <w:rsid w:val="00B97827"/>
    <w:rsid w:val="00BA1072"/>
    <w:rsid w:val="00BB0FAA"/>
    <w:rsid w:val="00BB1E78"/>
    <w:rsid w:val="00BB2E34"/>
    <w:rsid w:val="00BB567F"/>
    <w:rsid w:val="00BB61DB"/>
    <w:rsid w:val="00BB6A4C"/>
    <w:rsid w:val="00BC0823"/>
    <w:rsid w:val="00BC0850"/>
    <w:rsid w:val="00BC08FC"/>
    <w:rsid w:val="00BC7654"/>
    <w:rsid w:val="00BD0691"/>
    <w:rsid w:val="00BD0D1A"/>
    <w:rsid w:val="00BD13E2"/>
    <w:rsid w:val="00BD3E58"/>
    <w:rsid w:val="00BD4781"/>
    <w:rsid w:val="00BD55A2"/>
    <w:rsid w:val="00BD6319"/>
    <w:rsid w:val="00BD73CC"/>
    <w:rsid w:val="00BE5364"/>
    <w:rsid w:val="00BF03F2"/>
    <w:rsid w:val="00BF268B"/>
    <w:rsid w:val="00C0043D"/>
    <w:rsid w:val="00C006B0"/>
    <w:rsid w:val="00C0127E"/>
    <w:rsid w:val="00C02E85"/>
    <w:rsid w:val="00C04CEB"/>
    <w:rsid w:val="00C074A2"/>
    <w:rsid w:val="00C142E1"/>
    <w:rsid w:val="00C14F5D"/>
    <w:rsid w:val="00C1774D"/>
    <w:rsid w:val="00C24153"/>
    <w:rsid w:val="00C25111"/>
    <w:rsid w:val="00C253B8"/>
    <w:rsid w:val="00C31E50"/>
    <w:rsid w:val="00C32F3C"/>
    <w:rsid w:val="00C34B92"/>
    <w:rsid w:val="00C42A8B"/>
    <w:rsid w:val="00C42B0B"/>
    <w:rsid w:val="00C43A48"/>
    <w:rsid w:val="00C458A6"/>
    <w:rsid w:val="00C45B5A"/>
    <w:rsid w:val="00C47016"/>
    <w:rsid w:val="00C478DD"/>
    <w:rsid w:val="00C520BF"/>
    <w:rsid w:val="00C53222"/>
    <w:rsid w:val="00C56860"/>
    <w:rsid w:val="00C572CF"/>
    <w:rsid w:val="00C57CA3"/>
    <w:rsid w:val="00C60D58"/>
    <w:rsid w:val="00C62A0A"/>
    <w:rsid w:val="00C6340E"/>
    <w:rsid w:val="00C64E04"/>
    <w:rsid w:val="00C65DC1"/>
    <w:rsid w:val="00C665B6"/>
    <w:rsid w:val="00C66AEC"/>
    <w:rsid w:val="00C67824"/>
    <w:rsid w:val="00C70448"/>
    <w:rsid w:val="00C72138"/>
    <w:rsid w:val="00C72DE3"/>
    <w:rsid w:val="00C75C55"/>
    <w:rsid w:val="00C7683E"/>
    <w:rsid w:val="00C802EE"/>
    <w:rsid w:val="00C8107C"/>
    <w:rsid w:val="00C829FB"/>
    <w:rsid w:val="00C8381D"/>
    <w:rsid w:val="00C83A62"/>
    <w:rsid w:val="00C85E97"/>
    <w:rsid w:val="00C92A51"/>
    <w:rsid w:val="00C94068"/>
    <w:rsid w:val="00C97B69"/>
    <w:rsid w:val="00CA4CB3"/>
    <w:rsid w:val="00CA5316"/>
    <w:rsid w:val="00CB09E4"/>
    <w:rsid w:val="00CB0D44"/>
    <w:rsid w:val="00CB415C"/>
    <w:rsid w:val="00CB6C80"/>
    <w:rsid w:val="00CC2C85"/>
    <w:rsid w:val="00CC40C2"/>
    <w:rsid w:val="00CC6B35"/>
    <w:rsid w:val="00CC6DB6"/>
    <w:rsid w:val="00CD04C0"/>
    <w:rsid w:val="00CD36AD"/>
    <w:rsid w:val="00CD46C7"/>
    <w:rsid w:val="00CD4B94"/>
    <w:rsid w:val="00CE0D0F"/>
    <w:rsid w:val="00CE2567"/>
    <w:rsid w:val="00CE6A12"/>
    <w:rsid w:val="00CE6B55"/>
    <w:rsid w:val="00CF23C9"/>
    <w:rsid w:val="00CF3ECE"/>
    <w:rsid w:val="00D0035A"/>
    <w:rsid w:val="00D04FCA"/>
    <w:rsid w:val="00D05BE4"/>
    <w:rsid w:val="00D071B9"/>
    <w:rsid w:val="00D112B8"/>
    <w:rsid w:val="00D121AD"/>
    <w:rsid w:val="00D15EF0"/>
    <w:rsid w:val="00D1738E"/>
    <w:rsid w:val="00D176E5"/>
    <w:rsid w:val="00D20074"/>
    <w:rsid w:val="00D204DC"/>
    <w:rsid w:val="00D23A0A"/>
    <w:rsid w:val="00D23C94"/>
    <w:rsid w:val="00D24042"/>
    <w:rsid w:val="00D27579"/>
    <w:rsid w:val="00D31A2B"/>
    <w:rsid w:val="00D3301A"/>
    <w:rsid w:val="00D33E05"/>
    <w:rsid w:val="00D34A16"/>
    <w:rsid w:val="00D36BEA"/>
    <w:rsid w:val="00D424E3"/>
    <w:rsid w:val="00D42662"/>
    <w:rsid w:val="00D42AF3"/>
    <w:rsid w:val="00D52167"/>
    <w:rsid w:val="00D52C2F"/>
    <w:rsid w:val="00D60B40"/>
    <w:rsid w:val="00D6276B"/>
    <w:rsid w:val="00D63D63"/>
    <w:rsid w:val="00D66E80"/>
    <w:rsid w:val="00D671EE"/>
    <w:rsid w:val="00D674F3"/>
    <w:rsid w:val="00D6756B"/>
    <w:rsid w:val="00D701BC"/>
    <w:rsid w:val="00D71543"/>
    <w:rsid w:val="00D75F8F"/>
    <w:rsid w:val="00D76632"/>
    <w:rsid w:val="00D76E71"/>
    <w:rsid w:val="00D77AE7"/>
    <w:rsid w:val="00D8000F"/>
    <w:rsid w:val="00D81F96"/>
    <w:rsid w:val="00D858B7"/>
    <w:rsid w:val="00D85D93"/>
    <w:rsid w:val="00D930F3"/>
    <w:rsid w:val="00D97826"/>
    <w:rsid w:val="00DA326D"/>
    <w:rsid w:val="00DA613F"/>
    <w:rsid w:val="00DB1476"/>
    <w:rsid w:val="00DB18A0"/>
    <w:rsid w:val="00DB3DD2"/>
    <w:rsid w:val="00DB534F"/>
    <w:rsid w:val="00DB67BF"/>
    <w:rsid w:val="00DC0885"/>
    <w:rsid w:val="00DC0BAC"/>
    <w:rsid w:val="00DC1416"/>
    <w:rsid w:val="00DC3C51"/>
    <w:rsid w:val="00DC44AE"/>
    <w:rsid w:val="00DC45E9"/>
    <w:rsid w:val="00DC4829"/>
    <w:rsid w:val="00DC5A49"/>
    <w:rsid w:val="00DC5FBC"/>
    <w:rsid w:val="00DC755B"/>
    <w:rsid w:val="00DD6E41"/>
    <w:rsid w:val="00DD74FF"/>
    <w:rsid w:val="00DE3025"/>
    <w:rsid w:val="00DE4E25"/>
    <w:rsid w:val="00DE6819"/>
    <w:rsid w:val="00DF19E8"/>
    <w:rsid w:val="00DF318E"/>
    <w:rsid w:val="00E03F84"/>
    <w:rsid w:val="00E07C35"/>
    <w:rsid w:val="00E10AF0"/>
    <w:rsid w:val="00E10B00"/>
    <w:rsid w:val="00E13D12"/>
    <w:rsid w:val="00E15476"/>
    <w:rsid w:val="00E15AC0"/>
    <w:rsid w:val="00E173CA"/>
    <w:rsid w:val="00E2017F"/>
    <w:rsid w:val="00E25B32"/>
    <w:rsid w:val="00E25BB0"/>
    <w:rsid w:val="00E32C7A"/>
    <w:rsid w:val="00E33028"/>
    <w:rsid w:val="00E34070"/>
    <w:rsid w:val="00E351DD"/>
    <w:rsid w:val="00E35411"/>
    <w:rsid w:val="00E37B2F"/>
    <w:rsid w:val="00E37E67"/>
    <w:rsid w:val="00E4048A"/>
    <w:rsid w:val="00E408CF"/>
    <w:rsid w:val="00E41569"/>
    <w:rsid w:val="00E41929"/>
    <w:rsid w:val="00E45AA7"/>
    <w:rsid w:val="00E50120"/>
    <w:rsid w:val="00E51BAD"/>
    <w:rsid w:val="00E52D1B"/>
    <w:rsid w:val="00E5457D"/>
    <w:rsid w:val="00E617F3"/>
    <w:rsid w:val="00E61903"/>
    <w:rsid w:val="00E630C7"/>
    <w:rsid w:val="00E66596"/>
    <w:rsid w:val="00E740C8"/>
    <w:rsid w:val="00E74332"/>
    <w:rsid w:val="00E74BBE"/>
    <w:rsid w:val="00E76211"/>
    <w:rsid w:val="00E80403"/>
    <w:rsid w:val="00E80CFB"/>
    <w:rsid w:val="00E8179E"/>
    <w:rsid w:val="00E8563B"/>
    <w:rsid w:val="00E86372"/>
    <w:rsid w:val="00E86D0E"/>
    <w:rsid w:val="00E910A0"/>
    <w:rsid w:val="00E960CD"/>
    <w:rsid w:val="00E9771D"/>
    <w:rsid w:val="00EA3129"/>
    <w:rsid w:val="00EA33A5"/>
    <w:rsid w:val="00EA4D48"/>
    <w:rsid w:val="00EA4D76"/>
    <w:rsid w:val="00EA5264"/>
    <w:rsid w:val="00EA77E9"/>
    <w:rsid w:val="00EB21DE"/>
    <w:rsid w:val="00EB4866"/>
    <w:rsid w:val="00EB7CDF"/>
    <w:rsid w:val="00EC0C9D"/>
    <w:rsid w:val="00EC1757"/>
    <w:rsid w:val="00EC5F39"/>
    <w:rsid w:val="00ED533B"/>
    <w:rsid w:val="00EE0AC3"/>
    <w:rsid w:val="00EE17D7"/>
    <w:rsid w:val="00EE42C5"/>
    <w:rsid w:val="00EE4801"/>
    <w:rsid w:val="00EE49E6"/>
    <w:rsid w:val="00EE4A87"/>
    <w:rsid w:val="00EE555F"/>
    <w:rsid w:val="00EE6715"/>
    <w:rsid w:val="00EF0BCA"/>
    <w:rsid w:val="00EF1BF6"/>
    <w:rsid w:val="00F012A7"/>
    <w:rsid w:val="00F0327E"/>
    <w:rsid w:val="00F06974"/>
    <w:rsid w:val="00F12AF0"/>
    <w:rsid w:val="00F222B3"/>
    <w:rsid w:val="00F2354A"/>
    <w:rsid w:val="00F23C22"/>
    <w:rsid w:val="00F24631"/>
    <w:rsid w:val="00F254A4"/>
    <w:rsid w:val="00F30860"/>
    <w:rsid w:val="00F336EA"/>
    <w:rsid w:val="00F37787"/>
    <w:rsid w:val="00F40D01"/>
    <w:rsid w:val="00F410D4"/>
    <w:rsid w:val="00F422D9"/>
    <w:rsid w:val="00F438E4"/>
    <w:rsid w:val="00F4741C"/>
    <w:rsid w:val="00F51556"/>
    <w:rsid w:val="00F51DFF"/>
    <w:rsid w:val="00F54C48"/>
    <w:rsid w:val="00F56AA6"/>
    <w:rsid w:val="00F57640"/>
    <w:rsid w:val="00F611E0"/>
    <w:rsid w:val="00F619BC"/>
    <w:rsid w:val="00F65070"/>
    <w:rsid w:val="00F667D6"/>
    <w:rsid w:val="00F678D1"/>
    <w:rsid w:val="00F678E4"/>
    <w:rsid w:val="00F72A7E"/>
    <w:rsid w:val="00F7720E"/>
    <w:rsid w:val="00F81859"/>
    <w:rsid w:val="00F8499B"/>
    <w:rsid w:val="00F86B37"/>
    <w:rsid w:val="00F90336"/>
    <w:rsid w:val="00F92DD8"/>
    <w:rsid w:val="00F957A4"/>
    <w:rsid w:val="00F97BFF"/>
    <w:rsid w:val="00FA124E"/>
    <w:rsid w:val="00FA1560"/>
    <w:rsid w:val="00FA2E31"/>
    <w:rsid w:val="00FA3E17"/>
    <w:rsid w:val="00FA6753"/>
    <w:rsid w:val="00FA753F"/>
    <w:rsid w:val="00FA75E4"/>
    <w:rsid w:val="00FB280C"/>
    <w:rsid w:val="00FB3AF6"/>
    <w:rsid w:val="00FB690B"/>
    <w:rsid w:val="00FB7139"/>
    <w:rsid w:val="00FC1AA3"/>
    <w:rsid w:val="00FC27B2"/>
    <w:rsid w:val="00FC3935"/>
    <w:rsid w:val="00FC45FA"/>
    <w:rsid w:val="00FC50C3"/>
    <w:rsid w:val="00FC5257"/>
    <w:rsid w:val="00FC6386"/>
    <w:rsid w:val="00FD35F8"/>
    <w:rsid w:val="00FD3753"/>
    <w:rsid w:val="00FD6C8C"/>
    <w:rsid w:val="00FD6FC6"/>
    <w:rsid w:val="00FE3C99"/>
    <w:rsid w:val="00FE73F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B5DD"/>
  <w15:chartTrackingRefBased/>
  <w15:docId w15:val="{66AE98CC-5A68-42F1-9659-DFFCE9F3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73"/>
    <w:lsdException w:name="Plain Table 2" w:uiPriority="60"/>
    <w:lsdException w:name="Plain Table 3" w:uiPriority="61" w:qFormat="1"/>
    <w:lsdException w:name="Plain Table 4" w:uiPriority="62" w:qFormat="1"/>
    <w:lsdException w:name="Plain Table 5" w:uiPriority="63" w:qFormat="1"/>
    <w:lsdException w:name="Grid Table Light" w:uiPriority="64" w:qFormat="1"/>
    <w:lsdException w:name="Grid Table 1 Light" w:uiPriority="65" w:qFormat="1"/>
    <w:lsdException w:name="Grid Table 2" w:uiPriority="66"/>
    <w:lsdException w:name="Grid Table 3" w:uiPriority="67" w:qFormat="1"/>
    <w:lsdException w:name="Grid Table 4" w:uiPriority="68"/>
    <w:lsdException w:name="Grid Table 5 Dark" w:uiPriority="69"/>
    <w:lsdException w:name="Grid Table 6 Colorful" w:uiPriority="70" w:qFormat="1"/>
    <w:lsdException w:name="Grid Table 7 Colorful" w:uiPriority="71" w:qFormat="1"/>
    <w:lsdException w:name="Grid Table 1 Light Accent 1" w:uiPriority="72" w:qFormat="1"/>
    <w:lsdException w:name="Grid Table 2 Accent 1" w:uiPriority="73" w:qFormat="1"/>
    <w:lsdException w:name="Grid Table 3 Accent 1" w:uiPriority="60" w:qFormat="1"/>
    <w:lsdException w:name="Grid Table 4 Accent 1" w:uiPriority="61"/>
    <w:lsdException w:name="Grid Table 5 Dark Accent 1" w:uiPriority="62" w:qFormat="1"/>
    <w:lsdException w:name="Grid Table 6 Colorful Accent 1" w:uiPriority="63"/>
    <w:lsdException w:name="Grid Table 7 Colorful Accent 1" w:uiPriority="64"/>
    <w:lsdException w:name="Grid Table 1 Light Accent 2" w:uiPriority="65" w:qFormat="1"/>
    <w:lsdException w:name="Grid Table 2 Accent 2" w:uiPriority="66" w:qFormat="1"/>
    <w:lsdException w:name="Grid Table 3 Accent 2" w:uiPriority="67" w:qFormat="1"/>
    <w:lsdException w:name="Grid Table 4 Accent 2" w:uiPriority="68" w:qFormat="1"/>
    <w:lsdException w:name="Grid Table 5 Dark Accent 2" w:uiPriority="69" w:qFormat="1"/>
    <w:lsdException w:name="Grid Table 6 Colorful Accent 2" w:uiPriority="70"/>
    <w:lsdException w:name="Grid Table 7 Colorful Accent 2" w:uiPriority="71" w:qFormat="1"/>
    <w:lsdException w:name="Grid Table 1 Light Accent 3" w:uiPriority="72"/>
    <w:lsdException w:name="Grid Table 2 Accent 3" w:uiPriority="73"/>
    <w:lsdException w:name="Grid Table 3 Accent 3" w:uiPriority="19" w:qFormat="1"/>
    <w:lsdException w:name="Grid Table 4 Accent 3" w:uiPriority="21" w:qFormat="1"/>
    <w:lsdException w:name="Grid Table 5 Dark Accent 3" w:uiPriority="31" w:qFormat="1"/>
    <w:lsdException w:name="Grid Table 6 Colorful Accent 3" w:uiPriority="32" w:qFormat="1"/>
    <w:lsdException w:name="Grid Table 7 Colorful Accent 3" w:uiPriority="33" w:qFormat="1"/>
    <w:lsdException w:name="Grid Table 1 Light Accent 4" w:uiPriority="37"/>
    <w:lsdException w:name="Grid Table 2 Accent 4" w:uiPriority="39" w:qFormat="1"/>
    <w:lsdException w:name="Grid Table 3 Accent 4" w:uiPriority="41"/>
    <w:lsdException w:name="Grid Table 4 Accent 4" w:uiPriority="42"/>
    <w:lsdException w:name="Grid Table 5 Dark Accent 4" w:uiPriority="43"/>
    <w:lsdException w:name="Grid Table 6 Colorful Accent 4" w:uiPriority="44"/>
    <w:lsdException w:name="Grid Table 7 Colorful Accent 4" w:uiPriority="45"/>
    <w:lsdException w:name="Grid Table 1 Light Accent 5" w:uiPriority="40"/>
    <w:lsdException w:name="Grid Table 2 Accent 5" w:uiPriority="46"/>
    <w:lsdException w:name="Grid Table 3 Accent 5" w:uiPriority="47"/>
    <w:lsdException w:name="Grid Table 4 Accent 5" w:uiPriority="48"/>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basedOn w:val="Normal"/>
    <w:link w:val="HeaderChar"/>
    <w:uiPriority w:val="99"/>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link w:val="Header"/>
    <w:uiPriority w:val="99"/>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paragraph" w:styleId="Revision">
    <w:name w:val="Revision"/>
    <w:hidden/>
    <w:uiPriority w:val="99"/>
    <w:unhideWhenUsed/>
    <w:rsid w:val="0062570B"/>
    <w:rPr>
      <w:rFonts w:ascii="Arial" w:hAnsi="Arial" w:cs="Arial"/>
      <w:sz w:val="22"/>
      <w:szCs w:val="22"/>
      <w:lang w:val="en-US" w:eastAsia="zh-CN"/>
    </w:rPr>
  </w:style>
  <w:style w:type="paragraph" w:customStyle="1" w:styleId="CRCoverPage">
    <w:name w:val="CR Cover Page"/>
    <w:rsid w:val="00A20C0A"/>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4832994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26EF2-05E6-413B-9B84-24804611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1111</Words>
  <Characters>6338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7435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Thorsten Hertel</cp:lastModifiedBy>
  <cp:revision>71</cp:revision>
  <cp:lastPrinted>2017-03-24T03:01:00Z</cp:lastPrinted>
  <dcterms:created xsi:type="dcterms:W3CDTF">2017-07-20T02:23:00Z</dcterms:created>
  <dcterms:modified xsi:type="dcterms:W3CDTF">2017-08-11T16:40:00Z</dcterms:modified>
  <cp:category/>
</cp:coreProperties>
</file>